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E3" w:rsidRDefault="000A6DE3" w:rsidP="000A6DE3">
      <w:pPr>
        <w:pStyle w:val="auto-style7"/>
        <w:spacing w:before="0" w:beforeAutospacing="0" w:after="0" w:afterAutospacing="0"/>
      </w:pPr>
      <w:r>
        <w:rPr>
          <w:rFonts w:ascii="Tahoma" w:hAnsi="Tahoma" w:cs="Tahoma"/>
          <w:b/>
          <w:bCs/>
          <w:color w:val="000080"/>
        </w:rPr>
        <w:t xml:space="preserve">Dottrina Lavoro: Jobs </w:t>
      </w:r>
      <w:proofErr w:type="spellStart"/>
      <w:r>
        <w:rPr>
          <w:rFonts w:ascii="Tahoma" w:hAnsi="Tahoma" w:cs="Tahoma"/>
          <w:b/>
          <w:bCs/>
          <w:color w:val="000080"/>
        </w:rPr>
        <w:t>Act</w:t>
      </w:r>
      <w:proofErr w:type="spellEnd"/>
      <w:r>
        <w:rPr>
          <w:rFonts w:ascii="Tahoma" w:hAnsi="Tahoma" w:cs="Tahoma"/>
          <w:b/>
          <w:bCs/>
          <w:color w:val="000080"/>
        </w:rPr>
        <w:t xml:space="preserve"> - gli emendamenti al decreto legge n. 34/2014 </w:t>
      </w:r>
    </w:p>
    <w:p w:rsidR="000A6DE3" w:rsidRDefault="000A6DE3" w:rsidP="000A6DE3">
      <w:pPr>
        <w:pStyle w:val="auto-style7"/>
        <w:spacing w:before="0" w:beforeAutospacing="0" w:after="0" w:afterAutospacing="0"/>
      </w:pPr>
      <w:r>
        <w:t> </w:t>
      </w:r>
    </w:p>
    <w:p w:rsidR="000A6DE3" w:rsidRDefault="000A6DE3" w:rsidP="000A6DE3">
      <w:pPr>
        <w:pStyle w:val="auto-style16"/>
        <w:spacing w:before="0" w:beforeAutospacing="0"/>
      </w:pPr>
      <w:r>
        <w:rPr>
          <w:rFonts w:ascii="Tahoma" w:hAnsi="Tahoma" w:cs="Tahoma"/>
          <w:color w:val="000080"/>
        </w:rPr>
        <w:t xml:space="preserve">E' terminato l'esame degli emendamenti al </w:t>
      </w:r>
      <w:hyperlink r:id="rId4" w:tgtFrame="_blank" w:history="1">
        <w:r>
          <w:rPr>
            <w:rStyle w:val="Collegamentoipertestuale"/>
            <w:rFonts w:ascii="Tahoma" w:hAnsi="Tahoma" w:cs="Tahoma"/>
          </w:rPr>
          <w:t>decreto legge n. 34/2014</w:t>
        </w:r>
      </w:hyperlink>
      <w:r>
        <w:rPr>
          <w:rFonts w:ascii="Tahoma" w:hAnsi="Tahoma" w:cs="Tahoma"/>
          <w:color w:val="000080"/>
        </w:rPr>
        <w:t xml:space="preserve">. II testo, sarà valutato dalla Camera dei deputati da venerdì 18 aprile. </w:t>
      </w:r>
    </w:p>
    <w:p w:rsidR="000A6DE3" w:rsidRDefault="000A6DE3" w:rsidP="000A6DE3">
      <w:pPr>
        <w:pStyle w:val="auto-style16"/>
        <w:spacing w:before="0" w:beforeAutospacing="0"/>
      </w:pPr>
      <w:r>
        <w:rPr>
          <w:rFonts w:ascii="Tahoma" w:hAnsi="Tahoma" w:cs="Tahoma"/>
          <w:color w:val="000080"/>
        </w:rPr>
        <w:t xml:space="preserve">Queste le possibili novità che potremo trovare nella legge di conversione: </w:t>
      </w:r>
    </w:p>
    <w:p w:rsidR="000A6DE3" w:rsidRDefault="000A6DE3" w:rsidP="000A6DE3">
      <w:pPr>
        <w:pStyle w:val="auto-style16"/>
        <w:spacing w:before="0" w:beforeAutospacing="0"/>
      </w:pPr>
      <w:r>
        <w:t> </w:t>
      </w:r>
    </w:p>
    <w:p w:rsidR="000A6DE3" w:rsidRDefault="000A6DE3" w:rsidP="000A6DE3">
      <w:pPr>
        <w:pStyle w:val="style3"/>
      </w:pPr>
      <w:r>
        <w:rPr>
          <w:rStyle w:val="Enfasigrassetto"/>
        </w:rPr>
        <w:t>Tempo determinato</w:t>
      </w:r>
    </w:p>
    <w:p w:rsidR="000A6DE3" w:rsidRDefault="000A6DE3" w:rsidP="000A6DE3">
      <w:pPr>
        <w:pStyle w:val="style2"/>
        <w:spacing w:before="0" w:beforeAutospacing="0"/>
      </w:pPr>
      <w:r>
        <w:rPr>
          <w:rStyle w:val="style11"/>
        </w:rPr>
        <w:t xml:space="preserve">- </w:t>
      </w:r>
      <w:r>
        <w:rPr>
          <w:rFonts w:ascii="Tahoma" w:hAnsi="Tahoma" w:cs="Tahoma"/>
          <w:color w:val="000080"/>
        </w:rPr>
        <w:t xml:space="preserve">passano a </w:t>
      </w:r>
      <w:r>
        <w:rPr>
          <w:rStyle w:val="Enfasigrassetto"/>
          <w:rFonts w:ascii="Tahoma" w:hAnsi="Tahoma" w:cs="Tahoma"/>
          <w:color w:val="000080"/>
        </w:rPr>
        <w:t>5 le proroghe</w:t>
      </w:r>
      <w:r>
        <w:rPr>
          <w:rFonts w:ascii="Tahoma" w:hAnsi="Tahoma" w:cs="Tahoma"/>
          <w:color w:val="000080"/>
        </w:rPr>
        <w:t xml:space="preserve"> consentite durante i contratti a termine nell'ambito dei 3 anni di contratto. </w:t>
      </w:r>
    </w:p>
    <w:p w:rsidR="000A6DE3" w:rsidRDefault="000A6DE3" w:rsidP="000A6DE3">
      <w:pPr>
        <w:pStyle w:val="style2"/>
        <w:spacing w:before="0" w:beforeAutospacing="0"/>
      </w:pPr>
      <w:r>
        <w:rPr>
          <w:rStyle w:val="style11"/>
        </w:rPr>
        <w:t xml:space="preserve">- </w:t>
      </w:r>
      <w:r>
        <w:rPr>
          <w:rFonts w:ascii="Tahoma" w:hAnsi="Tahoma" w:cs="Tahoma"/>
          <w:color w:val="000080"/>
        </w:rPr>
        <w:t xml:space="preserve">il </w:t>
      </w:r>
      <w:r>
        <w:rPr>
          <w:rStyle w:val="Enfasigrassetto"/>
          <w:rFonts w:ascii="Tahoma" w:hAnsi="Tahoma" w:cs="Tahoma"/>
          <w:color w:val="000080"/>
        </w:rPr>
        <w:t>20% massimo di contratti</w:t>
      </w:r>
      <w:r>
        <w:rPr>
          <w:rFonts w:ascii="Tahoma" w:hAnsi="Tahoma" w:cs="Tahoma"/>
          <w:color w:val="000080"/>
        </w:rPr>
        <w:t xml:space="preserve"> a tempo determinato, previsto dalla norma, andrà </w:t>
      </w:r>
      <w:r>
        <w:rPr>
          <w:rStyle w:val="Enfasigrassetto"/>
          <w:rFonts w:ascii="Tahoma" w:hAnsi="Tahoma" w:cs="Tahoma"/>
          <w:color w:val="000080"/>
        </w:rPr>
        <w:t>calcolato sul totale dei soli contratti a tempo indeterminato</w:t>
      </w:r>
      <w:r>
        <w:rPr>
          <w:rFonts w:ascii="Tahoma" w:hAnsi="Tahoma" w:cs="Tahoma"/>
          <w:color w:val="000080"/>
        </w:rPr>
        <w:t xml:space="preserve"> e non sul complessivo organico aziendale. La percentuale non si applica ai rapporti di lavoro instaurati precedentemente all'entrata in vigore del decreto legge (20 aprile 2014).</w:t>
      </w:r>
    </w:p>
    <w:p w:rsidR="000A6DE3" w:rsidRDefault="000A6DE3" w:rsidP="000A6DE3">
      <w:pPr>
        <w:pStyle w:val="style4"/>
        <w:spacing w:before="0" w:beforeAutospacing="0"/>
      </w:pPr>
      <w:r>
        <w:t xml:space="preserve">- le </w:t>
      </w:r>
      <w:r>
        <w:rPr>
          <w:rStyle w:val="Enfasigrassetto"/>
        </w:rPr>
        <w:t>lavoratrici madri</w:t>
      </w:r>
      <w:r>
        <w:t xml:space="preserve"> con contratti a tempo determinato potranno conteggiare il periodo di congedo di maternità, ai fini dei requisiti necessari per acquisire il </w:t>
      </w:r>
      <w:r>
        <w:rPr>
          <w:rStyle w:val="Enfasigrassetto"/>
        </w:rPr>
        <w:t>diritto di precedenza</w:t>
      </w:r>
      <w:r>
        <w:t>, per le assunzioni a tempo indeterminato.</w:t>
      </w:r>
    </w:p>
    <w:p w:rsidR="000A6DE3" w:rsidRDefault="000A6DE3" w:rsidP="000A6DE3">
      <w:pPr>
        <w:pStyle w:val="style4"/>
        <w:spacing w:before="0" w:beforeAutospacing="0"/>
      </w:pPr>
      <w:r>
        <w:t>- il datore di lavoro sarà tenuto a informare il lavoratore del "</w:t>
      </w:r>
      <w:r>
        <w:rPr>
          <w:rStyle w:val="Enfasigrassetto"/>
        </w:rPr>
        <w:t>diritto di precedenza</w:t>
      </w:r>
      <w:r>
        <w:t>" attraverso una comunicazione scritta da consegnare al momento dell'assunzione.</w:t>
      </w:r>
    </w:p>
    <w:p w:rsidR="000A6DE3" w:rsidRDefault="000A6DE3" w:rsidP="000A6DE3">
      <w:pPr>
        <w:pStyle w:val="style2"/>
        <w:spacing w:before="0" w:beforeAutospacing="0"/>
      </w:pPr>
      <w:r>
        <w:t> </w:t>
      </w:r>
    </w:p>
    <w:p w:rsidR="000A6DE3" w:rsidRDefault="000A6DE3" w:rsidP="000A6DE3">
      <w:pPr>
        <w:pStyle w:val="style3"/>
      </w:pPr>
      <w:r>
        <w:rPr>
          <w:rStyle w:val="Enfasigrassetto"/>
        </w:rPr>
        <w:t>Apprendistato</w:t>
      </w:r>
    </w:p>
    <w:p w:rsidR="000A6DE3" w:rsidRDefault="000A6DE3" w:rsidP="000A6DE3">
      <w:pPr>
        <w:pStyle w:val="style2"/>
        <w:spacing w:before="0" w:beforeAutospacing="0"/>
      </w:pPr>
      <w:r>
        <w:rPr>
          <w:rStyle w:val="style11"/>
        </w:rPr>
        <w:t xml:space="preserve">- </w:t>
      </w:r>
      <w:r>
        <w:rPr>
          <w:rFonts w:ascii="Tahoma" w:hAnsi="Tahoma" w:cs="Tahoma"/>
          <w:color w:val="000080"/>
        </w:rPr>
        <w:t xml:space="preserve">viene reintrodotta una </w:t>
      </w:r>
      <w:r>
        <w:rPr>
          <w:rStyle w:val="Enfasigrassetto"/>
          <w:rFonts w:ascii="Tahoma" w:hAnsi="Tahoma" w:cs="Tahoma"/>
          <w:color w:val="000080"/>
        </w:rPr>
        <w:t>stabilizzazione</w:t>
      </w:r>
      <w:r>
        <w:rPr>
          <w:rFonts w:ascii="Tahoma" w:hAnsi="Tahoma" w:cs="Tahoma"/>
          <w:color w:val="000080"/>
        </w:rPr>
        <w:t xml:space="preserve"> "soft" dei contratti di apprendistato; in quanto, per le sole aziende che hanno più di 30 dipendenti, viene data la possibilità di utilizzare il contratto di apprendistato a condizione di aver stabilizzato almeno il 20% degli apprendisti assunti negli anni precedenti e che abbiano concluso il periodo formativo. </w:t>
      </w:r>
    </w:p>
    <w:p w:rsidR="000A6DE3" w:rsidRDefault="000A6DE3" w:rsidP="000A6DE3">
      <w:pPr>
        <w:pStyle w:val="style2"/>
        <w:spacing w:before="0" w:beforeAutospacing="0"/>
      </w:pPr>
      <w:r>
        <w:rPr>
          <w:rStyle w:val="style11"/>
        </w:rPr>
        <w:t xml:space="preserve">- </w:t>
      </w:r>
      <w:r>
        <w:rPr>
          <w:rFonts w:ascii="Tahoma" w:hAnsi="Tahoma" w:cs="Tahoma"/>
          <w:color w:val="000080"/>
        </w:rPr>
        <w:t xml:space="preserve">qualora la Regione non provveda ad </w:t>
      </w:r>
      <w:r>
        <w:rPr>
          <w:rStyle w:val="Enfasigrassetto"/>
          <w:rFonts w:ascii="Tahoma" w:hAnsi="Tahoma" w:cs="Tahoma"/>
          <w:color w:val="000080"/>
        </w:rPr>
        <w:t>informare l’impresa entro 45 giorni</w:t>
      </w:r>
      <w:r>
        <w:rPr>
          <w:rFonts w:ascii="Tahoma" w:hAnsi="Tahoma" w:cs="Tahoma"/>
          <w:color w:val="000080"/>
        </w:rPr>
        <w:t xml:space="preserve"> dalla comunicazione di instaurazione del rapporto, sulle modalità per usufruire dell’offerta formativa pubblica, l’</w:t>
      </w:r>
      <w:r>
        <w:rPr>
          <w:rStyle w:val="Enfasigrassetto"/>
          <w:rFonts w:ascii="Tahoma" w:hAnsi="Tahoma" w:cs="Tahoma"/>
          <w:color w:val="000080"/>
        </w:rPr>
        <w:t>azienda non sarà tenuta ad integrare la formazione</w:t>
      </w:r>
      <w:r>
        <w:rPr>
          <w:rFonts w:ascii="Tahoma" w:hAnsi="Tahoma" w:cs="Tahoma"/>
          <w:color w:val="000080"/>
        </w:rPr>
        <w:t xml:space="preserve"> di tipo professionale con quella finalizzata all’acquisizione di abilità  </w:t>
      </w:r>
      <w:r>
        <w:rPr>
          <w:rStyle w:val="Enfasigrassetto"/>
          <w:rFonts w:ascii="Tahoma" w:hAnsi="Tahoma" w:cs="Tahoma"/>
          <w:color w:val="000080"/>
        </w:rPr>
        <w:t>di base e trasversali</w:t>
      </w:r>
      <w:r>
        <w:rPr>
          <w:rFonts w:ascii="Tahoma" w:hAnsi="Tahoma" w:cs="Tahoma"/>
          <w:color w:val="000080"/>
        </w:rPr>
        <w:t>.</w:t>
      </w:r>
    </w:p>
    <w:p w:rsidR="000A6DE3" w:rsidRDefault="000A6DE3" w:rsidP="000A6DE3">
      <w:pPr>
        <w:pStyle w:val="auto-style20"/>
        <w:spacing w:before="0" w:beforeAutospacing="0"/>
      </w:pPr>
      <w:r>
        <w:t> </w:t>
      </w:r>
    </w:p>
    <w:p w:rsidR="00B828DC" w:rsidRDefault="00B828DC"/>
    <w:sectPr w:rsidR="00B828DC" w:rsidSect="00B828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6DE3"/>
    <w:rsid w:val="000A6DE3"/>
    <w:rsid w:val="00B8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8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uto-style7">
    <w:name w:val="auto-style7"/>
    <w:basedOn w:val="Normale"/>
    <w:rsid w:val="000A6DE3"/>
    <w:pPr>
      <w:spacing w:before="100" w:beforeAutospacing="1" w:after="100" w:afterAutospacing="1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uto-style16">
    <w:name w:val="auto-style16"/>
    <w:basedOn w:val="Normale"/>
    <w:rsid w:val="000A6DE3"/>
    <w:pPr>
      <w:spacing w:before="100" w:beforeAutospacing="1" w:after="60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uto-style20">
    <w:name w:val="auto-style20"/>
    <w:basedOn w:val="Normale"/>
    <w:rsid w:val="000A6DE3"/>
    <w:pPr>
      <w:spacing w:before="100" w:beforeAutospacing="1" w:after="4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rsid w:val="000A6DE3"/>
    <w:pPr>
      <w:spacing w:before="100" w:beforeAutospacing="1" w:after="60" w:line="240" w:lineRule="auto"/>
      <w:ind w:left="1500" w:right="150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3">
    <w:name w:val="style3"/>
    <w:basedOn w:val="Normale"/>
    <w:rsid w:val="000A6DE3"/>
    <w:pPr>
      <w:spacing w:after="60" w:line="240" w:lineRule="auto"/>
      <w:ind w:left="750" w:right="225"/>
    </w:pPr>
    <w:rPr>
      <w:rFonts w:ascii="Tahoma" w:eastAsia="Times New Roman" w:hAnsi="Tahoma" w:cs="Tahoma"/>
      <w:color w:val="000080"/>
      <w:sz w:val="24"/>
      <w:szCs w:val="24"/>
      <w:lang w:eastAsia="it-IT"/>
    </w:rPr>
  </w:style>
  <w:style w:type="paragraph" w:customStyle="1" w:styleId="style4">
    <w:name w:val="style4"/>
    <w:basedOn w:val="Normale"/>
    <w:rsid w:val="000A6DE3"/>
    <w:pPr>
      <w:spacing w:before="100" w:beforeAutospacing="1" w:after="60" w:line="240" w:lineRule="auto"/>
      <w:ind w:left="1500" w:right="1500"/>
    </w:pPr>
    <w:rPr>
      <w:rFonts w:ascii="Tahoma" w:eastAsia="Times New Roman" w:hAnsi="Tahoma" w:cs="Tahoma"/>
      <w:color w:val="00008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A6DE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A6DE3"/>
    <w:rPr>
      <w:b/>
      <w:bCs/>
    </w:rPr>
  </w:style>
  <w:style w:type="character" w:customStyle="1" w:styleId="style11">
    <w:name w:val="style11"/>
    <w:basedOn w:val="Carpredefinitoparagrafo"/>
    <w:rsid w:val="000A6DE3"/>
    <w:rPr>
      <w:rFonts w:ascii="Tahoma" w:hAnsi="Tahoma" w:cs="Tahoma" w:hint="default"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rmattiva.it/uri-res/N2Ls?urn:nir:stato:decreto-legge:2014-03-20;34!vig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2014-04-28T07:27:00Z</dcterms:created>
  <dcterms:modified xsi:type="dcterms:W3CDTF">2014-04-28T07:28:00Z</dcterms:modified>
</cp:coreProperties>
</file>