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EC114" w14:textId="77777777" w:rsidR="006D77EE" w:rsidRPr="009D3012" w:rsidRDefault="002870A7" w:rsidP="00DB6FC3">
      <w:pPr>
        <w:rPr>
          <w:rFonts w:ascii="Calibri" w:hAnsi="Calibri"/>
          <w:b/>
          <w:i/>
          <w:sz w:val="28"/>
          <w:szCs w:val="28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7DB2CF22" wp14:editId="4FC13663">
            <wp:simplePos x="0" y="0"/>
            <wp:positionH relativeFrom="column">
              <wp:posOffset>-80645</wp:posOffset>
            </wp:positionH>
            <wp:positionV relativeFrom="paragraph">
              <wp:posOffset>-371475</wp:posOffset>
            </wp:positionV>
            <wp:extent cx="2633980" cy="1524635"/>
            <wp:effectExtent l="0" t="0" r="0" b="0"/>
            <wp:wrapNone/>
            <wp:docPr id="22" name="Immagine 22" descr="D:\Immagini\Loghi Unito\20221201_img_LogoUnito_Orizzontale_Colo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Immagini\Loghi Unito\20221201_img_LogoUnito_Orizzontale_Color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1DDFB" w14:textId="77777777" w:rsidR="009D3012" w:rsidRPr="009D3012" w:rsidRDefault="009D3012" w:rsidP="00DB6FC3">
      <w:pPr>
        <w:rPr>
          <w:rFonts w:ascii="Calibri" w:hAnsi="Calibri"/>
          <w:b/>
          <w:i/>
          <w:sz w:val="28"/>
          <w:szCs w:val="28"/>
        </w:rPr>
      </w:pPr>
    </w:p>
    <w:p w14:paraId="45BDA520" w14:textId="77777777" w:rsidR="006D77EE" w:rsidRPr="009D3012" w:rsidRDefault="006D77EE" w:rsidP="00DB6FC3">
      <w:pPr>
        <w:rPr>
          <w:rFonts w:ascii="Calibri" w:hAnsi="Calibri"/>
          <w:b/>
          <w:i/>
          <w:sz w:val="28"/>
          <w:szCs w:val="28"/>
        </w:rPr>
      </w:pPr>
    </w:p>
    <w:p w14:paraId="17748648" w14:textId="77777777" w:rsidR="006D77EE" w:rsidRPr="009D3012" w:rsidRDefault="006D77EE" w:rsidP="00DB6FC3">
      <w:pPr>
        <w:rPr>
          <w:rFonts w:ascii="Calibri" w:hAnsi="Calibri"/>
          <w:b/>
          <w:i/>
          <w:sz w:val="28"/>
          <w:szCs w:val="28"/>
        </w:rPr>
      </w:pPr>
    </w:p>
    <w:p w14:paraId="6C5040D6" w14:textId="77777777" w:rsidR="006D77EE" w:rsidRPr="009D3012" w:rsidRDefault="006D77EE" w:rsidP="00DB6FC3">
      <w:pPr>
        <w:ind w:left="-567"/>
        <w:rPr>
          <w:rFonts w:ascii="Calibri" w:hAnsi="Calibri"/>
          <w:b/>
          <w:sz w:val="28"/>
          <w:szCs w:val="28"/>
        </w:rPr>
      </w:pPr>
    </w:p>
    <w:p w14:paraId="5DD432EC" w14:textId="77777777" w:rsidR="009D3012" w:rsidRPr="0020493B" w:rsidRDefault="00D611A2" w:rsidP="00DB6FC3">
      <w:pPr>
        <w:pStyle w:val="Sottotitolo"/>
        <w:jc w:val="left"/>
        <w:rPr>
          <w:rFonts w:ascii="Calibri" w:hAnsi="Calibri"/>
          <w:sz w:val="32"/>
          <w:szCs w:val="32"/>
        </w:rPr>
      </w:pPr>
      <w:r w:rsidRPr="0020493B">
        <w:rPr>
          <w:rFonts w:ascii="Calibri" w:hAnsi="Calibri"/>
          <w:sz w:val="32"/>
          <w:szCs w:val="32"/>
        </w:rPr>
        <w:t>Esempi di Domande di Esame</w:t>
      </w:r>
      <w:r w:rsidR="001C0D4C" w:rsidRPr="0020493B">
        <w:rPr>
          <w:rFonts w:ascii="Calibri" w:hAnsi="Calibri"/>
          <w:sz w:val="32"/>
          <w:szCs w:val="32"/>
        </w:rPr>
        <w:t xml:space="preserve">: </w:t>
      </w:r>
    </w:p>
    <w:p w14:paraId="30B27834" w14:textId="65693C97" w:rsidR="00924566" w:rsidRPr="0020493B" w:rsidRDefault="007A1B8D" w:rsidP="00DB6FC3">
      <w:pPr>
        <w:pStyle w:val="Sottotitolo"/>
        <w:jc w:val="left"/>
        <w:rPr>
          <w:rFonts w:ascii="Calibri" w:hAnsi="Calibri"/>
          <w:b w:val="0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Corso di Chimica </w:t>
      </w:r>
      <w:r w:rsidR="00C03C8B">
        <w:rPr>
          <w:rFonts w:ascii="Calibri" w:hAnsi="Calibri"/>
          <w:sz w:val="32"/>
          <w:szCs w:val="32"/>
        </w:rPr>
        <w:t>degli Alimenti</w:t>
      </w:r>
      <w:r w:rsidR="009873B3">
        <w:rPr>
          <w:rFonts w:ascii="Calibri" w:hAnsi="Calibri"/>
          <w:sz w:val="32"/>
          <w:szCs w:val="32"/>
        </w:rPr>
        <w:t xml:space="preserve"> CTF</w:t>
      </w:r>
      <w:r w:rsidR="00431B76">
        <w:rPr>
          <w:rFonts w:ascii="Calibri" w:hAnsi="Calibri"/>
          <w:sz w:val="32"/>
          <w:szCs w:val="32"/>
        </w:rPr>
        <w:t xml:space="preserve"> da AA 2023/2024 in poi</w:t>
      </w:r>
      <w:r w:rsidR="00B27D08">
        <w:rPr>
          <w:rFonts w:ascii="Calibri" w:hAnsi="Calibri"/>
          <w:sz w:val="32"/>
          <w:szCs w:val="32"/>
        </w:rPr>
        <w:t xml:space="preserve"> – </w:t>
      </w:r>
      <w:r w:rsidR="00B27D08" w:rsidRPr="00B27D08">
        <w:rPr>
          <w:rFonts w:ascii="Calibri" w:hAnsi="Calibri"/>
          <w:color w:val="FF0000"/>
          <w:sz w:val="32"/>
          <w:szCs w:val="32"/>
        </w:rPr>
        <w:t>in ross</w:t>
      </w:r>
      <w:r w:rsidR="00AB52CC">
        <w:rPr>
          <w:rFonts w:ascii="Calibri" w:hAnsi="Calibri"/>
          <w:color w:val="FF0000"/>
          <w:sz w:val="32"/>
          <w:szCs w:val="32"/>
        </w:rPr>
        <w:t>o</w:t>
      </w:r>
      <w:r w:rsidR="00B27D08" w:rsidRPr="00B27D08">
        <w:rPr>
          <w:rFonts w:ascii="Calibri" w:hAnsi="Calibri"/>
          <w:color w:val="FF0000"/>
          <w:sz w:val="32"/>
          <w:szCs w:val="32"/>
        </w:rPr>
        <w:t xml:space="preserve"> le domande che fanno riferimento al programma aggiornato all’AA 2023-2024</w:t>
      </w:r>
    </w:p>
    <w:p w14:paraId="49BA2F04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 xml:space="preserve">Idrogenazione catalitica: descrivere il grafico sottostante, i meccanismi di reazione e le caratteristiche chimico-fisiche dei prodotti derivati. </w:t>
      </w:r>
    </w:p>
    <w:p w14:paraId="06AA9B47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Idrogenazione catalitica: meccanismi di reazione, catalizzatori utilizzati e caratteristiche chimico-fisiche dei prodotti derivati. Commentare il grafico in calce.</w:t>
      </w:r>
    </w:p>
    <w:p w14:paraId="5A1398B5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Irrancidimento ossidativo: meccanismi di reazione e prodotti derivati (prodotti primari e secondari). Descrivere nel dettaglio la reazione a carico dell’acido linoleico.</w:t>
      </w:r>
    </w:p>
    <w:p w14:paraId="3CD62E26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 xml:space="preserve">Transesterificazione dei grassi: random-end e </w:t>
      </w:r>
      <w:proofErr w:type="spellStart"/>
      <w:r w:rsidRPr="00DB6FC3">
        <w:rPr>
          <w:rFonts w:ascii="Calibri" w:hAnsi="Calibri"/>
          <w:b w:val="0"/>
          <w:sz w:val="24"/>
          <w:szCs w:val="24"/>
        </w:rPr>
        <w:t>directed</w:t>
      </w:r>
      <w:proofErr w:type="spellEnd"/>
      <w:r w:rsidRPr="00DB6FC3">
        <w:rPr>
          <w:rFonts w:ascii="Calibri" w:hAnsi="Calibri"/>
          <w:b w:val="0"/>
          <w:sz w:val="24"/>
          <w:szCs w:val="24"/>
        </w:rPr>
        <w:t>. Descrizione del meccanismo di reazione, dei catalizzatori e caratteristiche dei prodotti derivati. Utilizzare l’esempio riportato in calce come ausilio alla discussione.</w:t>
      </w:r>
    </w:p>
    <w:p w14:paraId="7FB52BD6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Caratteristiche compositive degli oli di oliva in funzione dei trattamenti di estrazione e/o di raffinazione. Riferire in merito alle denominazioni merceologiche e commentare la tabella in calce.</w:t>
      </w:r>
    </w:p>
    <w:p w14:paraId="645FAE3F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Rettifica degli oli: elencare (senza entrare nel dettaglio) i principali processi di raffinazione chimica e fisica.</w:t>
      </w:r>
    </w:p>
    <w:p w14:paraId="45AC8A51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proofErr w:type="spellStart"/>
      <w:r w:rsidRPr="00DB6FC3">
        <w:rPr>
          <w:rFonts w:ascii="Calibri" w:hAnsi="Calibri"/>
          <w:b w:val="0"/>
          <w:sz w:val="24"/>
          <w:szCs w:val="24"/>
        </w:rPr>
        <w:t>Fotossidazione</w:t>
      </w:r>
      <w:proofErr w:type="spellEnd"/>
      <w:r w:rsidRPr="00DB6FC3">
        <w:rPr>
          <w:rFonts w:ascii="Calibri" w:hAnsi="Calibri"/>
          <w:b w:val="0"/>
          <w:sz w:val="24"/>
          <w:szCs w:val="24"/>
        </w:rPr>
        <w:t>, meccanismi di attivazione dell’ossigeno e reazione di formazione degli idroperossidi. Esempi di sensibilizzanti di Tipo I e II.</w:t>
      </w:r>
    </w:p>
    <w:p w14:paraId="074320B1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Prodotti di autossidazione dell’acido oleico, completare lo schema di reazione riportato di seguito e descrivere il processo di irrancidimento ossidativo dei grassi alimentari.</w:t>
      </w:r>
    </w:p>
    <w:p w14:paraId="3549E2EB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Caratteristiche chimico fisiche degli acidi grassi presenti nella frazione saponificabile dei grassi vegetali: origine biosintetica, peculiarità, nomenclatura IUPAC e omega-</w:t>
      </w:r>
      <w:proofErr w:type="spellStart"/>
      <w:r w:rsidRPr="00DB6FC3">
        <w:rPr>
          <w:rFonts w:ascii="Calibri" w:hAnsi="Calibri"/>
          <w:b w:val="0"/>
          <w:sz w:val="24"/>
          <w:szCs w:val="24"/>
        </w:rPr>
        <w:t>reference</w:t>
      </w:r>
      <w:proofErr w:type="spellEnd"/>
      <w:r w:rsidRPr="00DB6FC3">
        <w:rPr>
          <w:rFonts w:ascii="Calibri" w:hAnsi="Calibri"/>
          <w:b w:val="0"/>
          <w:sz w:val="24"/>
          <w:szCs w:val="24"/>
        </w:rPr>
        <w:t>. Concetto di essenzialità e distribuzione degli acidi grassi essenziali negli oli vegetali.</w:t>
      </w:r>
    </w:p>
    <w:p w14:paraId="6E93292F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CLA (</w:t>
      </w:r>
      <w:proofErr w:type="spellStart"/>
      <w:r w:rsidRPr="00DB6FC3">
        <w:rPr>
          <w:rFonts w:ascii="Calibri" w:hAnsi="Calibri"/>
          <w:b w:val="0"/>
          <w:sz w:val="24"/>
          <w:szCs w:val="24"/>
        </w:rPr>
        <w:t>Conjugated</w:t>
      </w:r>
      <w:proofErr w:type="spellEnd"/>
      <w:r w:rsidRPr="00DB6FC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DB6FC3">
        <w:rPr>
          <w:rFonts w:ascii="Calibri" w:hAnsi="Calibri"/>
          <w:b w:val="0"/>
          <w:sz w:val="24"/>
          <w:szCs w:val="24"/>
        </w:rPr>
        <w:t>Linoleic</w:t>
      </w:r>
      <w:proofErr w:type="spellEnd"/>
      <w:r w:rsidRPr="00DB6FC3">
        <w:rPr>
          <w:rFonts w:ascii="Calibri" w:hAnsi="Calibri"/>
          <w:b w:val="0"/>
          <w:sz w:val="24"/>
          <w:szCs w:val="24"/>
        </w:rPr>
        <w:t xml:space="preserve"> Acids): origine biosintetica, struttura chimica e distribuzione nelle matrici alimentari grasse. </w:t>
      </w:r>
    </w:p>
    <w:p w14:paraId="1E9FEBC8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Numero di Iodio come indicatore della composizione chimica di un grasso alimentare. Valore medio per i principali grassi alimentari di origine vegetale ed animale e sua correlazione con la propensione all’irrancidimento ossidativo.</w:t>
      </w:r>
    </w:p>
    <w:p w14:paraId="78252D4C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Indicatori di trattamento termico del latte, andamento in funzione della temperatura e origine.</w:t>
      </w:r>
    </w:p>
    <w:p w14:paraId="4547AE0D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Effetti della variazione del pH sulla stabilità delle proteine del latte: commentare il grafico riportato in calce. Descrivere la struttura chimica, le proprietà chimico-fisiche e l’origine biosintetica delle principali proteine del latte.</w:t>
      </w:r>
    </w:p>
    <w:p w14:paraId="69ED02DC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Caseine: composizione chimica e struttura delle micelle. Commentare il grafico riportato in calce.</w:t>
      </w:r>
    </w:p>
    <w:p w14:paraId="44939F78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Descrivere la struttura chimica, le proprietà chimico-fisiche e l’origine biosintetica delle principali proteine del latte</w:t>
      </w:r>
    </w:p>
    <w:p w14:paraId="6E59877F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 xml:space="preserve">Caseificazione: modificazioni a carico della frazione proteica e lipidica della cagliata. </w:t>
      </w:r>
    </w:p>
    <w:p w14:paraId="7BB00938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lastRenderedPageBreak/>
        <w:t>Frazione glicidica del latte vaccino: struttura chimica dei principali zuccheri del latte, loro ruolo nutrizionale (vacca-vitello) e funzionale per l’alimentazione umana.</w:t>
      </w:r>
    </w:p>
    <w:p w14:paraId="2B5EB3BD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 xml:space="preserve">Trattamenti termici del latte: </w:t>
      </w:r>
      <w:proofErr w:type="spellStart"/>
      <w:r w:rsidRPr="00DB6FC3">
        <w:rPr>
          <w:rFonts w:ascii="Calibri" w:hAnsi="Calibri"/>
          <w:b w:val="0"/>
          <w:sz w:val="24"/>
          <w:szCs w:val="24"/>
        </w:rPr>
        <w:t>termizzazione</w:t>
      </w:r>
      <w:proofErr w:type="spellEnd"/>
      <w:r w:rsidRPr="00DB6FC3">
        <w:rPr>
          <w:rFonts w:ascii="Calibri" w:hAnsi="Calibri"/>
          <w:b w:val="0"/>
          <w:sz w:val="24"/>
          <w:szCs w:val="24"/>
        </w:rPr>
        <w:t>, pastorizzazione, sterilizzazione: rapporti tempo temperatura e impatto sulle caratteristiche chimico-fisiche e nutrizionali della materia prima</w:t>
      </w:r>
    </w:p>
    <w:p w14:paraId="6B222004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Frazione lipidica del latte vaccino: caratteristiche compositive, strutturali e funzionali del globulo di grasso</w:t>
      </w:r>
    </w:p>
    <w:p w14:paraId="173328CD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Latti fermentati e probiotici: caratteristiche dei principali microrganismi fermentanti, processo di produzione di yogurt a coagulo fluido e a coagulo compatto, caratteristiche nutrizionali.</w:t>
      </w:r>
    </w:p>
    <w:p w14:paraId="20B0F0F4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Caseificazione: fasi della cagliata.</w:t>
      </w:r>
    </w:p>
    <w:p w14:paraId="3F18881F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Prebiotici e probiotici: definizioni ed effetti sul metabolismo.</w:t>
      </w:r>
    </w:p>
    <w:p w14:paraId="2B2AF20B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proofErr w:type="spellStart"/>
      <w:r w:rsidRPr="00DB6FC3">
        <w:rPr>
          <w:rFonts w:ascii="Calibri" w:hAnsi="Calibri"/>
          <w:b w:val="0"/>
          <w:sz w:val="24"/>
          <w:szCs w:val="24"/>
        </w:rPr>
        <w:t>Polimorfirmo</w:t>
      </w:r>
      <w:proofErr w:type="spellEnd"/>
      <w:r w:rsidRPr="00DB6FC3">
        <w:rPr>
          <w:rFonts w:ascii="Calibri" w:hAnsi="Calibri"/>
          <w:b w:val="0"/>
          <w:sz w:val="24"/>
          <w:szCs w:val="24"/>
        </w:rPr>
        <w:t xml:space="preserve"> dei grassi alimentari: principali forme polimorfiche, struttura tridimensionale, aspetti chimico-fisici e tecnologici.</w:t>
      </w:r>
    </w:p>
    <w:p w14:paraId="29944F3D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 xml:space="preserve">Frazione </w:t>
      </w:r>
      <w:proofErr w:type="spellStart"/>
      <w:r w:rsidRPr="00DB6FC3">
        <w:rPr>
          <w:rFonts w:ascii="Calibri" w:hAnsi="Calibri"/>
          <w:b w:val="0"/>
          <w:sz w:val="24"/>
          <w:szCs w:val="24"/>
        </w:rPr>
        <w:t>insaponibicabile</w:t>
      </w:r>
      <w:proofErr w:type="spellEnd"/>
      <w:r w:rsidRPr="00DB6FC3">
        <w:rPr>
          <w:rFonts w:ascii="Calibri" w:hAnsi="Calibri"/>
          <w:b w:val="0"/>
          <w:sz w:val="24"/>
          <w:szCs w:val="24"/>
        </w:rPr>
        <w:t xml:space="preserve"> dei grassi alimentari: classi chimiche, principali composti e ruolo nutrizionale/analitico</w:t>
      </w:r>
    </w:p>
    <w:p w14:paraId="39B09653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Ossidazione lipidica: catalisi da parte di metalli di transizione e gruppi HEME</w:t>
      </w:r>
    </w:p>
    <w:p w14:paraId="4683CCB6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Ossidazione lipidica - prodotti secondari: meccanismi di formazione, esempi.</w:t>
      </w:r>
    </w:p>
    <w:p w14:paraId="495144CC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Modificazioni dei grassi alimentari indotte dal calore (deep-</w:t>
      </w:r>
      <w:proofErr w:type="spellStart"/>
      <w:r w:rsidRPr="00DB6FC3">
        <w:rPr>
          <w:rFonts w:ascii="Calibri" w:hAnsi="Calibri"/>
          <w:b w:val="0"/>
          <w:sz w:val="24"/>
          <w:szCs w:val="24"/>
        </w:rPr>
        <w:t>frying</w:t>
      </w:r>
      <w:proofErr w:type="spellEnd"/>
      <w:r w:rsidRPr="00DB6FC3">
        <w:rPr>
          <w:rFonts w:ascii="Calibri" w:hAnsi="Calibri"/>
          <w:b w:val="0"/>
          <w:sz w:val="24"/>
          <w:szCs w:val="24"/>
        </w:rPr>
        <w:t>): formazione dell'acroleina, polimerizzazione, ecc.</w:t>
      </w:r>
    </w:p>
    <w:p w14:paraId="4DC9286A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Tecnologia di estrazione dell'olio vergine di oliva: fasi del processo e caratteristiche del prodotto finito in relazione all'autenticazione ed alla assicurazione di qualità.</w:t>
      </w:r>
    </w:p>
    <w:p w14:paraId="39205056" w14:textId="77777777" w:rsidR="0020493B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Principali substrati della reazione di Maillard e loro reattività specifica. Esempio di formazione dell'intermedio di Amadori tra glucosio (forma aperta) e prolina</w:t>
      </w:r>
    </w:p>
    <w:p w14:paraId="27B6C750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 xml:space="preserve">Schema di vinificazione in rosso, commentare lo schema riportato in calce soffermandosi in particolare sul processo di macerazione e di solfitazione per i quali è necessario indicare le specie chimiche coinvolte e le modificazioni a loro carico. </w:t>
      </w:r>
    </w:p>
    <w:p w14:paraId="2A091A43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Fermentazione alcolica dei mosti. Microrganismi coinvolti e loro caratteristiche.</w:t>
      </w:r>
    </w:p>
    <w:p w14:paraId="3A4139C8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Aromi del vino: aromi primari, secondari e terziari. Elencare le principali classi chimiche di composti caratterizzanti ciascuna classe, l’origine (biosintetica e/o tecnologica) e l’impatto sulle caratteristiche organolettiche del prodotto finito.</w:t>
      </w:r>
    </w:p>
    <w:p w14:paraId="73528565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Macerazione carbonica: descrizione del processo</w:t>
      </w:r>
    </w:p>
    <w:p w14:paraId="3FD4686E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Acidi organici del vino: specie chimiche, loro origine e definizione di acidità fissa e volatile.</w:t>
      </w:r>
    </w:p>
    <w:p w14:paraId="52B71DCD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Solfitazione: fonti di anidride solforosa utilizzate per il trattamento dei mosti, ruolo nella vinificazione.</w:t>
      </w:r>
    </w:p>
    <w:p w14:paraId="55FF1325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Composizione chimica del mosto. Descrivere inoltre la differente distribuzione dei metaboliti primari e secondari di origine vegetale presenti nell’acino di uva facendo riferimento all’immagine schematizzata riportata in calce.</w:t>
      </w:r>
    </w:p>
    <w:p w14:paraId="358E4BD5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 xml:space="preserve">Frazione proteica del mosto: caratteristiche chimiche e ruolo nella stabilizzazione/destabilizzazione dei mosti. Interventi tecnologici per ridurre l’intorbidamento dei vini. Amminoacidi marker di maturazione delle uve e meccanismi di formazione delle amine biogene. </w:t>
      </w:r>
    </w:p>
    <w:p w14:paraId="2EFFF89B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Struttura chimica delle antocianine, caratteristiche chimico fisiche e ruolo nella definizione del colore dei vini rossi.</w:t>
      </w:r>
    </w:p>
    <w:p w14:paraId="2CF11E10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lastRenderedPageBreak/>
        <w:t xml:space="preserve">Proteine dei cereali: classificazione mista di Osborne e </w:t>
      </w:r>
      <w:proofErr w:type="spellStart"/>
      <w:r w:rsidRPr="00DB6FC3">
        <w:rPr>
          <w:rFonts w:ascii="Calibri" w:hAnsi="Calibri"/>
          <w:b w:val="0"/>
          <w:sz w:val="24"/>
          <w:szCs w:val="24"/>
        </w:rPr>
        <w:t>Shewry</w:t>
      </w:r>
      <w:proofErr w:type="spellEnd"/>
      <w:r w:rsidRPr="00DB6FC3">
        <w:rPr>
          <w:rFonts w:ascii="Calibri" w:hAnsi="Calibri"/>
          <w:b w:val="0"/>
          <w:sz w:val="24"/>
          <w:szCs w:val="24"/>
        </w:rPr>
        <w:t>. Caratteristiche compositive e loro impatto sulle caratteristiche reologiche del glutine. Misura della forza di una farina ed interpretazione dell’</w:t>
      </w:r>
      <w:proofErr w:type="spellStart"/>
      <w:r w:rsidRPr="00DB6FC3">
        <w:rPr>
          <w:rFonts w:ascii="Calibri" w:hAnsi="Calibri"/>
          <w:b w:val="0"/>
          <w:sz w:val="24"/>
          <w:szCs w:val="24"/>
        </w:rPr>
        <w:t>alveogramma</w:t>
      </w:r>
      <w:proofErr w:type="spellEnd"/>
      <w:r w:rsidRPr="00DB6FC3">
        <w:rPr>
          <w:rFonts w:ascii="Calibri" w:hAnsi="Calibri"/>
          <w:b w:val="0"/>
          <w:sz w:val="24"/>
          <w:szCs w:val="24"/>
        </w:rPr>
        <w:t xml:space="preserve"> (commentare il grafico in calce).</w:t>
      </w:r>
    </w:p>
    <w:p w14:paraId="391B17CA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Gelatinizzazione dell’amido: descrivere il processo ricorrendo ai grafici riportati in calce.</w:t>
      </w:r>
    </w:p>
    <w:p w14:paraId="5F6C8143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 xml:space="preserve">Caratteristiche degli impasti: forza di una farina, indice </w:t>
      </w:r>
      <w:proofErr w:type="spellStart"/>
      <w:r w:rsidRPr="00DB6FC3">
        <w:rPr>
          <w:rFonts w:ascii="Calibri" w:hAnsi="Calibri"/>
          <w:b w:val="0"/>
          <w:sz w:val="24"/>
          <w:szCs w:val="24"/>
        </w:rPr>
        <w:t>alveografico</w:t>
      </w:r>
      <w:proofErr w:type="spellEnd"/>
      <w:r w:rsidRPr="00DB6FC3">
        <w:rPr>
          <w:rFonts w:ascii="Calibri" w:hAnsi="Calibri"/>
          <w:b w:val="0"/>
          <w:sz w:val="24"/>
          <w:szCs w:val="24"/>
        </w:rPr>
        <w:t xml:space="preserve"> W e P/L loro significato e correlazione con la classificazione di uno sfarinato di grano tenero.</w:t>
      </w:r>
    </w:p>
    <w:p w14:paraId="60A7E238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Glutine: composizione chimica, interazioni e ruolo tecnologico.</w:t>
      </w:r>
    </w:p>
    <w:p w14:paraId="239E7A5A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Caratteristiche chimiche compositive e tecnologiche dell’amido di frumento. Commentare il grafico riportato in calce.</w:t>
      </w:r>
    </w:p>
    <w:p w14:paraId="11C899C7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Proteine dei cereali: classificazione chimica, caratteristiche compositive e funzionali (formazione del glutine) e limiti nutrizionali (amminoacidi limitanti).</w:t>
      </w:r>
    </w:p>
    <w:p w14:paraId="57C01AEB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 xml:space="preserve">Classificazione degli sfarinati di grano tenero e di grano duro secondo la Legge n° 580, 4 Luglio 1967 ed il DPR n° 187 del 2 Febbraio 2001. </w:t>
      </w:r>
    </w:p>
    <w:p w14:paraId="7FD588FA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Processo di molitura e caratteristiche compositive degli sfarinati in funzione del grado di abburattamento</w:t>
      </w:r>
    </w:p>
    <w:p w14:paraId="3DF4D655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Riso: classificazione botanica, caratteristiche morfologiche e costituzionali della cariosside. Principali trattamenti tecnologici.</w:t>
      </w:r>
    </w:p>
    <w:p w14:paraId="74CF49ED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Tannini condensati e tannini idrolizzabili nelle uve: struttura chimica, impatto organolettico e ruolo tecnologico. Commentare il grafico in calce.</w:t>
      </w:r>
    </w:p>
    <w:p w14:paraId="4F53FB23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Acidi fenolici nelle uve: loro distribuzione nel frutto, struttura chimica e ruolo come precursori di aromi terziari.</w:t>
      </w:r>
    </w:p>
    <w:p w14:paraId="63D6593C" w14:textId="77777777" w:rsid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 xml:space="preserve">Fermentazioni secondarie dei mosti: fermentazione malo-lattica, fermentazione </w:t>
      </w:r>
      <w:proofErr w:type="spellStart"/>
      <w:r w:rsidRPr="00DB6FC3">
        <w:rPr>
          <w:rFonts w:ascii="Calibri" w:hAnsi="Calibri"/>
          <w:b w:val="0"/>
          <w:sz w:val="24"/>
          <w:szCs w:val="24"/>
        </w:rPr>
        <w:t>glicero</w:t>
      </w:r>
      <w:proofErr w:type="spellEnd"/>
      <w:r w:rsidRPr="00DB6FC3">
        <w:rPr>
          <w:rFonts w:ascii="Calibri" w:hAnsi="Calibri"/>
          <w:b w:val="0"/>
          <w:sz w:val="24"/>
          <w:szCs w:val="24"/>
        </w:rPr>
        <w:t>-piruvica, fermentazione malo-alcolica. Contributo alla composizione del vino e reazioni di riferimento.</w:t>
      </w:r>
    </w:p>
    <w:p w14:paraId="312A45BD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Prove di migrazione globale e specifica: simulanti e condizioni test.</w:t>
      </w:r>
    </w:p>
    <w:p w14:paraId="3DC22F90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Contenitori per alimenti: normativa di riferimento e requisiti dei materiali destinati al contatto con gli alimenti.</w:t>
      </w:r>
    </w:p>
    <w:p w14:paraId="5DA7813A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Definizione di migrazione globale e specifica: meccanismi di migrazione e implicazioni in tema di sicurezza.</w:t>
      </w:r>
    </w:p>
    <w:p w14:paraId="7E1566B5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 xml:space="preserve">Imballaggi funzionali: </w:t>
      </w:r>
      <w:proofErr w:type="spellStart"/>
      <w:r w:rsidRPr="00DB6FC3">
        <w:rPr>
          <w:rFonts w:ascii="Calibri" w:hAnsi="Calibri"/>
          <w:b w:val="0"/>
          <w:sz w:val="24"/>
          <w:szCs w:val="24"/>
        </w:rPr>
        <w:t>active</w:t>
      </w:r>
      <w:proofErr w:type="spellEnd"/>
      <w:r w:rsidRPr="00DB6FC3">
        <w:rPr>
          <w:rFonts w:ascii="Calibri" w:hAnsi="Calibri"/>
          <w:b w:val="0"/>
          <w:sz w:val="24"/>
          <w:szCs w:val="24"/>
        </w:rPr>
        <w:t xml:space="preserve"> packaging e </w:t>
      </w:r>
      <w:proofErr w:type="spellStart"/>
      <w:r w:rsidRPr="00DB6FC3">
        <w:rPr>
          <w:rFonts w:ascii="Calibri" w:hAnsi="Calibri"/>
          <w:b w:val="0"/>
          <w:sz w:val="24"/>
          <w:szCs w:val="24"/>
        </w:rPr>
        <w:t>intelligent</w:t>
      </w:r>
      <w:proofErr w:type="spellEnd"/>
      <w:r w:rsidRPr="00DB6FC3">
        <w:rPr>
          <w:rFonts w:ascii="Calibri" w:hAnsi="Calibri"/>
          <w:b w:val="0"/>
          <w:sz w:val="24"/>
          <w:szCs w:val="24"/>
        </w:rPr>
        <w:t xml:space="preserve"> packaging; definizioni ed esempi applicativi.</w:t>
      </w:r>
    </w:p>
    <w:p w14:paraId="16122963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Acqua libera: definizione e sua correlazione con la conservabilità degli alimenti. Commentare il grafico riportato in calce.</w:t>
      </w:r>
    </w:p>
    <w:p w14:paraId="51CA89B7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Acqua libera: definizione, sua correlazione con la conservabilità e strategie per prolungare la “</w:t>
      </w:r>
      <w:proofErr w:type="spellStart"/>
      <w:r w:rsidRPr="00DB6FC3">
        <w:rPr>
          <w:rFonts w:ascii="Calibri" w:hAnsi="Calibri"/>
          <w:b w:val="0"/>
          <w:sz w:val="24"/>
          <w:szCs w:val="24"/>
        </w:rPr>
        <w:t>shelf</w:t>
      </w:r>
      <w:proofErr w:type="spellEnd"/>
      <w:r w:rsidRPr="00DB6FC3">
        <w:rPr>
          <w:rFonts w:ascii="Calibri" w:hAnsi="Calibri"/>
          <w:b w:val="0"/>
          <w:sz w:val="24"/>
          <w:szCs w:val="24"/>
        </w:rPr>
        <w:t>-life” di un alimento modificando tale parametro. Commentare i grafici riportati in calce.</w:t>
      </w:r>
    </w:p>
    <w:p w14:paraId="621207A5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Acqua destinata al consumo umano: caratteristiche compositive e trattamenti ammessi per la potabilizzazione.</w:t>
      </w:r>
    </w:p>
    <w:p w14:paraId="68BC40CC" w14:textId="77777777" w:rsidR="00DB6FC3" w:rsidRPr="00DB6FC3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Acque minerali: caratteristiche compositive, trattamenti ammessi e peculiarità.</w:t>
      </w:r>
    </w:p>
    <w:p w14:paraId="190EB59E" w14:textId="77777777" w:rsidR="00DB6FC3" w:rsidRPr="009024A7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9024A7">
        <w:rPr>
          <w:rFonts w:ascii="Calibri" w:hAnsi="Calibri"/>
          <w:b w:val="0"/>
          <w:sz w:val="24"/>
          <w:szCs w:val="24"/>
        </w:rPr>
        <w:t>Reazione di Maillard: reazioni a carico delle proteine</w:t>
      </w:r>
    </w:p>
    <w:p w14:paraId="645A2A44" w14:textId="77777777" w:rsidR="00DB6FC3" w:rsidRPr="009024A7" w:rsidRDefault="00DB6FC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9024A7">
        <w:rPr>
          <w:rFonts w:ascii="Calibri" w:hAnsi="Calibri"/>
          <w:b w:val="0"/>
          <w:sz w:val="24"/>
          <w:szCs w:val="24"/>
        </w:rPr>
        <w:t xml:space="preserve">Reazione di Maillard: </w:t>
      </w:r>
      <w:proofErr w:type="spellStart"/>
      <w:r w:rsidRPr="009024A7">
        <w:rPr>
          <w:rFonts w:ascii="Calibri" w:hAnsi="Calibri"/>
          <w:b w:val="0"/>
          <w:sz w:val="24"/>
          <w:szCs w:val="24"/>
        </w:rPr>
        <w:t>melanoidine</w:t>
      </w:r>
      <w:proofErr w:type="spellEnd"/>
    </w:p>
    <w:p w14:paraId="7214518F" w14:textId="10D1E6CE" w:rsidR="008641B3" w:rsidRPr="009024A7" w:rsidRDefault="008641B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9024A7">
        <w:rPr>
          <w:rFonts w:ascii="Calibri" w:hAnsi="Calibri"/>
          <w:b w:val="0"/>
          <w:sz w:val="24"/>
          <w:szCs w:val="24"/>
        </w:rPr>
        <w:t>Olio di Palma: formazione dei contaminati di processo. Condizioni e strategie di mitigazione. Scrivere la formula di strutt</w:t>
      </w:r>
      <w:r w:rsidR="0063367E">
        <w:rPr>
          <w:rFonts w:ascii="Calibri" w:hAnsi="Calibri"/>
          <w:b w:val="0"/>
          <w:sz w:val="24"/>
          <w:szCs w:val="24"/>
        </w:rPr>
        <w:t>u</w:t>
      </w:r>
      <w:r w:rsidRPr="009024A7">
        <w:rPr>
          <w:rFonts w:ascii="Calibri" w:hAnsi="Calibri"/>
          <w:b w:val="0"/>
          <w:sz w:val="24"/>
          <w:szCs w:val="24"/>
        </w:rPr>
        <w:t xml:space="preserve">ra dei </w:t>
      </w:r>
      <w:proofErr w:type="spellStart"/>
      <w:r w:rsidRPr="009024A7">
        <w:rPr>
          <w:rFonts w:ascii="Calibri" w:hAnsi="Calibri"/>
          <w:b w:val="0"/>
          <w:sz w:val="24"/>
          <w:szCs w:val="24"/>
        </w:rPr>
        <w:t>glicidil</w:t>
      </w:r>
      <w:proofErr w:type="spellEnd"/>
      <w:r w:rsidRPr="009024A7">
        <w:rPr>
          <w:rFonts w:ascii="Calibri" w:hAnsi="Calibri"/>
          <w:b w:val="0"/>
          <w:sz w:val="24"/>
          <w:szCs w:val="24"/>
        </w:rPr>
        <w:t xml:space="preserve"> esteri e dei MCPD principali e illustrare il meccanismo di formazione ipotizzato.</w:t>
      </w:r>
    </w:p>
    <w:p w14:paraId="1089D982" w14:textId="77777777" w:rsidR="008641B3" w:rsidRPr="009024A7" w:rsidRDefault="008641B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9024A7">
        <w:rPr>
          <w:rFonts w:ascii="Calibri" w:hAnsi="Calibri"/>
          <w:b w:val="0"/>
          <w:sz w:val="24"/>
          <w:szCs w:val="24"/>
        </w:rPr>
        <w:lastRenderedPageBreak/>
        <w:t>Olio di Palma: peculiarità compositive e processi tecnologici utilizzati per l’estrazione dal frutto e la raffinazione del CPO (Crude Palm Oil).</w:t>
      </w:r>
    </w:p>
    <w:p w14:paraId="1369FBC3" w14:textId="77777777" w:rsidR="008641B3" w:rsidRDefault="008641B3" w:rsidP="00DB6FC3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9024A7">
        <w:rPr>
          <w:rFonts w:ascii="Calibri" w:hAnsi="Calibri"/>
          <w:b w:val="0"/>
          <w:sz w:val="24"/>
          <w:szCs w:val="24"/>
        </w:rPr>
        <w:t>Olio di Palma: caratteristiche compositive e frazionamento. Scopo del frazionamento, metodologie applicate e prodotti derivati.</w:t>
      </w:r>
    </w:p>
    <w:p w14:paraId="63EC2FC5" w14:textId="77777777" w:rsidR="004A6336" w:rsidRPr="00DB6FC3" w:rsidRDefault="004A6336" w:rsidP="004A6336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Definizione di antiossidante e classificazioni. Esempi di composti biologicamente attivi di origine vegetale: flavonoidi.</w:t>
      </w:r>
    </w:p>
    <w:p w14:paraId="76F180CA" w14:textId="77777777" w:rsidR="004A6336" w:rsidRPr="00DB6FC3" w:rsidRDefault="004A6336" w:rsidP="004A6336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Definizione di antiossidante e classificazioni. Esempi di composti biologicamente attivi di origine vegetale: tocoferoli.</w:t>
      </w:r>
    </w:p>
    <w:p w14:paraId="29E6B8A0" w14:textId="77777777" w:rsidR="004A6336" w:rsidRPr="00DB6FC3" w:rsidRDefault="004A6336" w:rsidP="004A6336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DB6FC3">
        <w:rPr>
          <w:rFonts w:ascii="Calibri" w:hAnsi="Calibri"/>
          <w:b w:val="0"/>
          <w:sz w:val="24"/>
          <w:szCs w:val="24"/>
        </w:rPr>
        <w:t>Definizione di antiossidante e classificazioni. Esempi di composti biologicamente attivi di origine vegetale: carotenoidi.</w:t>
      </w:r>
    </w:p>
    <w:p w14:paraId="134593B1" w14:textId="77777777" w:rsidR="004A6336" w:rsidRPr="00B27D08" w:rsidRDefault="004A6336" w:rsidP="004A6336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sz w:val="24"/>
          <w:szCs w:val="24"/>
        </w:rPr>
      </w:pPr>
      <w:r w:rsidRPr="00B27D08">
        <w:rPr>
          <w:rFonts w:ascii="Calibri" w:hAnsi="Calibri"/>
          <w:b w:val="0"/>
          <w:sz w:val="24"/>
          <w:szCs w:val="24"/>
        </w:rPr>
        <w:t xml:space="preserve">Sostanze </w:t>
      </w:r>
      <w:proofErr w:type="spellStart"/>
      <w:r w:rsidRPr="00B27D08">
        <w:rPr>
          <w:rFonts w:ascii="Calibri" w:hAnsi="Calibri"/>
          <w:b w:val="0"/>
          <w:sz w:val="24"/>
          <w:szCs w:val="24"/>
        </w:rPr>
        <w:t>antinutrizionali</w:t>
      </w:r>
      <w:proofErr w:type="spellEnd"/>
      <w:r w:rsidRPr="00B27D08">
        <w:rPr>
          <w:rFonts w:ascii="Calibri" w:hAnsi="Calibri"/>
          <w:b w:val="0"/>
          <w:sz w:val="24"/>
          <w:szCs w:val="24"/>
        </w:rPr>
        <w:t xml:space="preserve"> presenti nei vegetali: lectine, inibitori enzimatici e </w:t>
      </w:r>
      <w:proofErr w:type="spellStart"/>
      <w:r w:rsidRPr="00B27D08">
        <w:rPr>
          <w:rFonts w:ascii="Calibri" w:hAnsi="Calibri"/>
          <w:b w:val="0"/>
          <w:sz w:val="24"/>
          <w:szCs w:val="24"/>
        </w:rPr>
        <w:t>fitati</w:t>
      </w:r>
      <w:proofErr w:type="spellEnd"/>
      <w:r w:rsidRPr="00B27D08">
        <w:rPr>
          <w:rFonts w:ascii="Calibri" w:hAnsi="Calibri"/>
          <w:b w:val="0"/>
          <w:sz w:val="24"/>
          <w:szCs w:val="24"/>
        </w:rPr>
        <w:t>. Distribuzione, meccanismo di azione ed effetto tossico.</w:t>
      </w:r>
    </w:p>
    <w:p w14:paraId="6F3F9E4D" w14:textId="77777777" w:rsidR="00B27D08" w:rsidRPr="00B27D08" w:rsidRDefault="00B27D08" w:rsidP="004A6336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color w:val="FF0000"/>
          <w:sz w:val="24"/>
          <w:szCs w:val="24"/>
        </w:rPr>
      </w:pPr>
      <w:r w:rsidRPr="00B27D08">
        <w:rPr>
          <w:rFonts w:ascii="Calibri" w:hAnsi="Calibri"/>
          <w:b w:val="0"/>
          <w:color w:val="FF0000"/>
          <w:sz w:val="24"/>
          <w:szCs w:val="24"/>
        </w:rPr>
        <w:t xml:space="preserve">Pigmenti naturalmente presenti negli alimenti: antocianine e </w:t>
      </w:r>
      <w:proofErr w:type="spellStart"/>
      <w:r w:rsidRPr="00B27D08">
        <w:rPr>
          <w:rFonts w:ascii="Calibri" w:hAnsi="Calibri"/>
          <w:b w:val="0"/>
          <w:color w:val="FF0000"/>
          <w:sz w:val="24"/>
          <w:szCs w:val="24"/>
        </w:rPr>
        <w:t>betalaine</w:t>
      </w:r>
      <w:proofErr w:type="spellEnd"/>
      <w:r w:rsidRPr="00B27D08">
        <w:rPr>
          <w:rFonts w:ascii="Calibri" w:hAnsi="Calibri"/>
          <w:b w:val="0"/>
          <w:color w:val="FF0000"/>
          <w:sz w:val="24"/>
          <w:szCs w:val="24"/>
        </w:rPr>
        <w:t>. Struttura e stabilità chimica.</w:t>
      </w:r>
    </w:p>
    <w:p w14:paraId="76A8E83B" w14:textId="77777777" w:rsidR="00B27D08" w:rsidRPr="00B27D08" w:rsidRDefault="00B27D08" w:rsidP="00B27D08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color w:val="FF0000"/>
          <w:sz w:val="24"/>
          <w:szCs w:val="24"/>
        </w:rPr>
      </w:pPr>
      <w:r w:rsidRPr="00B27D08">
        <w:rPr>
          <w:rFonts w:ascii="Calibri" w:hAnsi="Calibri"/>
          <w:b w:val="0"/>
          <w:color w:val="FF0000"/>
          <w:sz w:val="24"/>
          <w:szCs w:val="24"/>
        </w:rPr>
        <w:t xml:space="preserve">Pigmenti naturalmente presenti negli alimenti: carotenoidi. </w:t>
      </w:r>
      <w:proofErr w:type="spellStart"/>
      <w:r w:rsidRPr="00B27D08">
        <w:rPr>
          <w:rFonts w:ascii="Calibri" w:hAnsi="Calibri"/>
          <w:b w:val="0"/>
          <w:color w:val="FF0000"/>
          <w:sz w:val="24"/>
          <w:szCs w:val="24"/>
        </w:rPr>
        <w:t>Stuttura</w:t>
      </w:r>
      <w:proofErr w:type="spellEnd"/>
      <w:r w:rsidRPr="00B27D08">
        <w:rPr>
          <w:rFonts w:ascii="Calibri" w:hAnsi="Calibri"/>
          <w:b w:val="0"/>
          <w:color w:val="FF0000"/>
          <w:sz w:val="24"/>
          <w:szCs w:val="24"/>
        </w:rPr>
        <w:t xml:space="preserve"> e stabilità chimica.</w:t>
      </w:r>
    </w:p>
    <w:p w14:paraId="48E20DCE" w14:textId="77777777" w:rsidR="00B27D08" w:rsidRPr="00B27D08" w:rsidRDefault="00B27D08" w:rsidP="00B27D08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color w:val="FF0000"/>
          <w:sz w:val="24"/>
          <w:szCs w:val="24"/>
        </w:rPr>
      </w:pPr>
      <w:r w:rsidRPr="00B27D08">
        <w:rPr>
          <w:rFonts w:ascii="Calibri" w:hAnsi="Calibri"/>
          <w:b w:val="0"/>
          <w:color w:val="FF0000"/>
          <w:sz w:val="24"/>
          <w:szCs w:val="24"/>
        </w:rPr>
        <w:t xml:space="preserve">Pigmenti naturalmente presenti negli alimenti: </w:t>
      </w:r>
      <w:proofErr w:type="spellStart"/>
      <w:r w:rsidRPr="00B27D08">
        <w:rPr>
          <w:rFonts w:ascii="Calibri" w:hAnsi="Calibri"/>
          <w:b w:val="0"/>
          <w:color w:val="FF0000"/>
          <w:sz w:val="24"/>
          <w:szCs w:val="24"/>
        </w:rPr>
        <w:t>melanoidine</w:t>
      </w:r>
      <w:proofErr w:type="spellEnd"/>
      <w:r w:rsidRPr="00B27D08">
        <w:rPr>
          <w:rFonts w:ascii="Calibri" w:hAnsi="Calibri"/>
          <w:b w:val="0"/>
          <w:color w:val="FF0000"/>
          <w:sz w:val="24"/>
          <w:szCs w:val="24"/>
        </w:rPr>
        <w:t xml:space="preserve">. </w:t>
      </w:r>
      <w:proofErr w:type="spellStart"/>
      <w:r w:rsidRPr="00B27D08">
        <w:rPr>
          <w:rFonts w:ascii="Calibri" w:hAnsi="Calibri"/>
          <w:b w:val="0"/>
          <w:color w:val="FF0000"/>
          <w:sz w:val="24"/>
          <w:szCs w:val="24"/>
        </w:rPr>
        <w:t>Stuttura</w:t>
      </w:r>
      <w:proofErr w:type="spellEnd"/>
      <w:r w:rsidRPr="00B27D08">
        <w:rPr>
          <w:rFonts w:ascii="Calibri" w:hAnsi="Calibri"/>
          <w:b w:val="0"/>
          <w:color w:val="FF0000"/>
          <w:sz w:val="24"/>
          <w:szCs w:val="24"/>
        </w:rPr>
        <w:t xml:space="preserve"> e stabilità chimica.</w:t>
      </w:r>
    </w:p>
    <w:p w14:paraId="233860BE" w14:textId="77777777" w:rsidR="00B27D08" w:rsidRPr="00B27D08" w:rsidRDefault="00B27D08" w:rsidP="00B27D08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color w:val="FF0000"/>
          <w:sz w:val="24"/>
          <w:szCs w:val="24"/>
        </w:rPr>
      </w:pPr>
      <w:r w:rsidRPr="00B27D08">
        <w:rPr>
          <w:rFonts w:ascii="Calibri" w:hAnsi="Calibri"/>
          <w:b w:val="0"/>
          <w:color w:val="FF0000"/>
          <w:sz w:val="24"/>
          <w:szCs w:val="24"/>
        </w:rPr>
        <w:t>Ossidazione delle proteine/amino acidi e cross-reattività con i radicali lipidici. Rilevanza negli alimenti.</w:t>
      </w:r>
    </w:p>
    <w:p w14:paraId="44E428BF" w14:textId="77777777" w:rsidR="00B27D08" w:rsidRPr="00B27D08" w:rsidRDefault="00B27D08" w:rsidP="00B27D08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color w:val="FF0000"/>
          <w:sz w:val="24"/>
          <w:szCs w:val="24"/>
        </w:rPr>
      </w:pPr>
      <w:r w:rsidRPr="00B27D08">
        <w:rPr>
          <w:rFonts w:ascii="Calibri" w:hAnsi="Calibri"/>
          <w:b w:val="0"/>
          <w:color w:val="FF0000"/>
          <w:sz w:val="24"/>
          <w:szCs w:val="24"/>
        </w:rPr>
        <w:t>Ossidazione dei carboidrati e cross-reattività con i radicali lipidici. Rilevanza negli alimenti.</w:t>
      </w:r>
    </w:p>
    <w:p w14:paraId="7FFC0B6A" w14:textId="114660FF" w:rsidR="00B27D08" w:rsidRPr="00B27D08" w:rsidRDefault="00B27D08" w:rsidP="00B27D08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color w:val="FF0000"/>
          <w:sz w:val="24"/>
          <w:szCs w:val="24"/>
        </w:rPr>
      </w:pPr>
      <w:r w:rsidRPr="00B27D08">
        <w:rPr>
          <w:rFonts w:ascii="Calibri" w:hAnsi="Calibri"/>
          <w:b w:val="0"/>
          <w:color w:val="FF0000"/>
          <w:sz w:val="24"/>
          <w:szCs w:val="24"/>
        </w:rPr>
        <w:t>Percezione sensoriale: aroma, gusto e texture. Impor</w:t>
      </w:r>
      <w:r w:rsidR="00AB52CC">
        <w:rPr>
          <w:rFonts w:ascii="Calibri" w:hAnsi="Calibri"/>
          <w:b w:val="0"/>
          <w:color w:val="FF0000"/>
          <w:sz w:val="24"/>
          <w:szCs w:val="24"/>
        </w:rPr>
        <w:t>t</w:t>
      </w:r>
      <w:r w:rsidRPr="00B27D08">
        <w:rPr>
          <w:rFonts w:ascii="Calibri" w:hAnsi="Calibri"/>
          <w:b w:val="0"/>
          <w:color w:val="FF0000"/>
          <w:sz w:val="24"/>
          <w:szCs w:val="24"/>
        </w:rPr>
        <w:t>anza nelle scelte alimentari e meccanismi di percezione.</w:t>
      </w:r>
    </w:p>
    <w:p w14:paraId="034ECE28" w14:textId="77777777" w:rsidR="00B27D08" w:rsidRPr="00B27D08" w:rsidRDefault="00B27D08" w:rsidP="00B27D08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color w:val="FF0000"/>
          <w:sz w:val="24"/>
          <w:szCs w:val="24"/>
        </w:rPr>
      </w:pPr>
      <w:r w:rsidRPr="00B27D08">
        <w:rPr>
          <w:rFonts w:ascii="Calibri" w:hAnsi="Calibri"/>
          <w:b w:val="0"/>
          <w:color w:val="FF0000"/>
          <w:sz w:val="24"/>
          <w:szCs w:val="24"/>
        </w:rPr>
        <w:t>Cross-modalità: interazione tra sensi udito/olfatto/gusto e scelte alimentari.</w:t>
      </w:r>
    </w:p>
    <w:p w14:paraId="014796B2" w14:textId="77777777" w:rsidR="00B27D08" w:rsidRPr="00B27D08" w:rsidRDefault="00B27D08" w:rsidP="00B27D08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color w:val="FF0000"/>
          <w:sz w:val="24"/>
          <w:szCs w:val="24"/>
        </w:rPr>
      </w:pPr>
      <w:r w:rsidRPr="00B27D08">
        <w:rPr>
          <w:rFonts w:ascii="Calibri" w:hAnsi="Calibri"/>
          <w:b w:val="0"/>
          <w:color w:val="FF0000"/>
          <w:sz w:val="24"/>
          <w:szCs w:val="24"/>
        </w:rPr>
        <w:t>Sicurezza alimentare: dal campo alla tavola sistema di sicurezza europeo e attori coinvolti</w:t>
      </w:r>
    </w:p>
    <w:p w14:paraId="326CED0E" w14:textId="77777777" w:rsidR="00B27D08" w:rsidRPr="00B27D08" w:rsidRDefault="00B27D08" w:rsidP="00B27D08">
      <w:pPr>
        <w:pStyle w:val="Sottotitolo"/>
        <w:numPr>
          <w:ilvl w:val="0"/>
          <w:numId w:val="1"/>
        </w:numPr>
        <w:jc w:val="left"/>
        <w:rPr>
          <w:rFonts w:ascii="Calibri" w:hAnsi="Calibri"/>
          <w:b w:val="0"/>
          <w:color w:val="FF0000"/>
          <w:sz w:val="24"/>
          <w:szCs w:val="24"/>
        </w:rPr>
      </w:pPr>
      <w:r w:rsidRPr="00B27D08">
        <w:rPr>
          <w:rFonts w:ascii="Calibri" w:hAnsi="Calibri"/>
          <w:b w:val="0"/>
          <w:color w:val="FF0000"/>
          <w:sz w:val="24"/>
          <w:szCs w:val="24"/>
        </w:rPr>
        <w:t>Sicurezza alimentare: laboratori di controllo ufficiale attività e prerogative</w:t>
      </w:r>
    </w:p>
    <w:p w14:paraId="17CEFA04" w14:textId="77777777" w:rsidR="008641B3" w:rsidRPr="007A1B8D" w:rsidRDefault="008641B3" w:rsidP="008641B3">
      <w:pPr>
        <w:pStyle w:val="Sottotitolo"/>
        <w:ind w:left="360"/>
        <w:jc w:val="left"/>
        <w:rPr>
          <w:rFonts w:ascii="Calibri" w:hAnsi="Calibri"/>
          <w:b w:val="0"/>
          <w:sz w:val="24"/>
          <w:szCs w:val="24"/>
        </w:rPr>
      </w:pPr>
    </w:p>
    <w:p w14:paraId="7A5A1A2B" w14:textId="77777777" w:rsidR="00DB6FC3" w:rsidRDefault="00DB6FC3" w:rsidP="007A1B8D">
      <w:pPr>
        <w:rPr>
          <w:rFonts w:ascii="Calibri" w:hAnsi="Calibri"/>
          <w:b/>
          <w:sz w:val="24"/>
          <w:szCs w:val="24"/>
        </w:rPr>
      </w:pPr>
    </w:p>
    <w:p w14:paraId="6DAADA58" w14:textId="77777777" w:rsidR="007A1B8D" w:rsidRPr="007A1B8D" w:rsidRDefault="007A1B8D" w:rsidP="007A1B8D">
      <w:pPr>
        <w:rPr>
          <w:rFonts w:ascii="Calibri" w:hAnsi="Calibri"/>
          <w:b/>
          <w:sz w:val="24"/>
          <w:szCs w:val="24"/>
        </w:rPr>
      </w:pPr>
      <w:r w:rsidRPr="007A1B8D">
        <w:rPr>
          <w:rFonts w:ascii="Calibri" w:hAnsi="Calibri"/>
          <w:b/>
          <w:sz w:val="24"/>
          <w:szCs w:val="24"/>
        </w:rPr>
        <w:t>Definizioni</w:t>
      </w:r>
    </w:p>
    <w:p w14:paraId="4E8747CC" w14:textId="77777777" w:rsidR="007A1B8D" w:rsidRPr="007A1B8D" w:rsidRDefault="007A1B8D" w:rsidP="007A1B8D">
      <w:pPr>
        <w:rPr>
          <w:rFonts w:ascii="Calibri" w:hAnsi="Calibri"/>
          <w:sz w:val="24"/>
          <w:szCs w:val="24"/>
        </w:rPr>
      </w:pPr>
      <w:r w:rsidRPr="007A1B8D">
        <w:rPr>
          <w:rFonts w:ascii="Calibri" w:hAnsi="Calibri"/>
          <w:sz w:val="24"/>
          <w:szCs w:val="24"/>
        </w:rPr>
        <w:t>Definizione di acidità libera di un lipide e unità di misura con cui viene espressa</w:t>
      </w:r>
    </w:p>
    <w:p w14:paraId="36DA3141" w14:textId="77777777" w:rsidR="007A1B8D" w:rsidRPr="007A1B8D" w:rsidRDefault="007A1B8D" w:rsidP="007A1B8D">
      <w:pPr>
        <w:rPr>
          <w:rFonts w:ascii="Calibri" w:hAnsi="Calibri"/>
          <w:sz w:val="24"/>
          <w:szCs w:val="24"/>
        </w:rPr>
      </w:pPr>
      <w:r w:rsidRPr="007A1B8D">
        <w:rPr>
          <w:rFonts w:ascii="Calibri" w:hAnsi="Calibri"/>
          <w:sz w:val="24"/>
          <w:szCs w:val="24"/>
        </w:rPr>
        <w:t>Definizione dell'acidità del latte, unità di misura e specie chimiche a cui si fa riferimento</w:t>
      </w:r>
    </w:p>
    <w:p w14:paraId="6BA063C7" w14:textId="77777777" w:rsidR="007A1B8D" w:rsidRPr="007A1B8D" w:rsidRDefault="007A1B8D" w:rsidP="007A1B8D">
      <w:pPr>
        <w:rPr>
          <w:rFonts w:ascii="Calibri" w:hAnsi="Calibri"/>
          <w:sz w:val="24"/>
          <w:szCs w:val="24"/>
        </w:rPr>
      </w:pPr>
      <w:r w:rsidRPr="007A1B8D">
        <w:rPr>
          <w:rFonts w:ascii="Calibri" w:hAnsi="Calibri"/>
          <w:sz w:val="24"/>
          <w:szCs w:val="24"/>
        </w:rPr>
        <w:t>Definizione di acidità totale, volatile e fissa per un vino: unità di misura e specie chimiche a cui si fa riferimento</w:t>
      </w:r>
    </w:p>
    <w:p w14:paraId="0320A8FB" w14:textId="77777777" w:rsidR="007A1B8D" w:rsidRPr="007A1B8D" w:rsidRDefault="007A1B8D" w:rsidP="007A1B8D">
      <w:pPr>
        <w:rPr>
          <w:rFonts w:ascii="Calibri" w:hAnsi="Calibri"/>
          <w:sz w:val="24"/>
          <w:szCs w:val="24"/>
        </w:rPr>
      </w:pPr>
      <w:r w:rsidRPr="007A1B8D">
        <w:rPr>
          <w:rFonts w:ascii="Calibri" w:hAnsi="Calibri"/>
          <w:sz w:val="24"/>
          <w:szCs w:val="24"/>
        </w:rPr>
        <w:t>Definizione di numero di iodio per un lipide</w:t>
      </w:r>
    </w:p>
    <w:p w14:paraId="16FF5704" w14:textId="77777777" w:rsidR="007A1B8D" w:rsidRPr="007A1B8D" w:rsidRDefault="007A1B8D" w:rsidP="007A1B8D">
      <w:pPr>
        <w:rPr>
          <w:rFonts w:ascii="Calibri" w:hAnsi="Calibri"/>
          <w:sz w:val="24"/>
          <w:szCs w:val="24"/>
        </w:rPr>
      </w:pPr>
      <w:r w:rsidRPr="007A1B8D">
        <w:rPr>
          <w:rFonts w:ascii="Calibri" w:hAnsi="Calibri"/>
          <w:sz w:val="24"/>
          <w:szCs w:val="24"/>
        </w:rPr>
        <w:t>Definizione dell'indice di maturazione di un formaggio e modalità di calcolo</w:t>
      </w:r>
    </w:p>
    <w:p w14:paraId="5CB9DFEA" w14:textId="77777777" w:rsidR="007A1B8D" w:rsidRPr="007A1B8D" w:rsidRDefault="007A1B8D" w:rsidP="007A1B8D">
      <w:pPr>
        <w:rPr>
          <w:rFonts w:ascii="Calibri" w:hAnsi="Calibri"/>
          <w:sz w:val="24"/>
          <w:szCs w:val="24"/>
        </w:rPr>
      </w:pPr>
      <w:r w:rsidRPr="007A1B8D">
        <w:rPr>
          <w:rFonts w:ascii="Calibri" w:hAnsi="Calibri"/>
          <w:sz w:val="24"/>
          <w:szCs w:val="24"/>
        </w:rPr>
        <w:t>Definizione dell'indice di neutralizzazione per un lipide durante il processo di rettifica</w:t>
      </w:r>
    </w:p>
    <w:p w14:paraId="61CFEBF9" w14:textId="77777777" w:rsidR="007A1B8D" w:rsidRPr="007A1B8D" w:rsidRDefault="007A1B8D" w:rsidP="007A1B8D">
      <w:pPr>
        <w:rPr>
          <w:rFonts w:ascii="Calibri" w:hAnsi="Calibri"/>
          <w:sz w:val="24"/>
          <w:szCs w:val="24"/>
        </w:rPr>
      </w:pPr>
      <w:r w:rsidRPr="007A1B8D">
        <w:rPr>
          <w:rFonts w:ascii="Calibri" w:hAnsi="Calibri"/>
          <w:sz w:val="24"/>
          <w:szCs w:val="24"/>
        </w:rPr>
        <w:t>Definizione di grado alcolico di un vino ed unità d</w:t>
      </w:r>
      <w:r w:rsidR="002746C6">
        <w:rPr>
          <w:rFonts w:ascii="Calibri" w:hAnsi="Calibri"/>
          <w:sz w:val="24"/>
          <w:szCs w:val="24"/>
        </w:rPr>
        <w:t>i</w:t>
      </w:r>
      <w:r w:rsidRPr="007A1B8D">
        <w:rPr>
          <w:rFonts w:ascii="Calibri" w:hAnsi="Calibri"/>
          <w:sz w:val="24"/>
          <w:szCs w:val="24"/>
        </w:rPr>
        <w:t xml:space="preserve"> misura di riferimento</w:t>
      </w:r>
    </w:p>
    <w:p w14:paraId="009C92BE" w14:textId="77777777" w:rsidR="007A1B8D" w:rsidRPr="007A1B8D" w:rsidRDefault="007A1B8D" w:rsidP="007A1B8D">
      <w:pPr>
        <w:rPr>
          <w:rFonts w:ascii="Calibri" w:hAnsi="Calibri"/>
          <w:sz w:val="24"/>
          <w:szCs w:val="24"/>
        </w:rPr>
      </w:pPr>
      <w:r w:rsidRPr="007A1B8D">
        <w:rPr>
          <w:rFonts w:ascii="Calibri" w:hAnsi="Calibri"/>
          <w:sz w:val="24"/>
          <w:szCs w:val="24"/>
        </w:rPr>
        <w:t>Defini</w:t>
      </w:r>
      <w:r w:rsidR="00467F67">
        <w:rPr>
          <w:rFonts w:ascii="Calibri" w:hAnsi="Calibri"/>
          <w:sz w:val="24"/>
          <w:szCs w:val="24"/>
        </w:rPr>
        <w:t>zione di durezza totale e perman</w:t>
      </w:r>
      <w:r w:rsidRPr="007A1B8D">
        <w:rPr>
          <w:rFonts w:ascii="Calibri" w:hAnsi="Calibri"/>
          <w:sz w:val="24"/>
          <w:szCs w:val="24"/>
        </w:rPr>
        <w:t xml:space="preserve">ente di un'acqua destinata al consumo umano: unità di misura e specie chimiche coinvolte </w:t>
      </w:r>
    </w:p>
    <w:p w14:paraId="11B629FD" w14:textId="77777777" w:rsidR="007A1B8D" w:rsidRPr="007A1B8D" w:rsidRDefault="007A1B8D" w:rsidP="007A1B8D">
      <w:pPr>
        <w:rPr>
          <w:rFonts w:ascii="Calibri" w:hAnsi="Calibri"/>
          <w:sz w:val="24"/>
          <w:szCs w:val="24"/>
        </w:rPr>
      </w:pPr>
      <w:r w:rsidRPr="007A1B8D">
        <w:rPr>
          <w:rFonts w:ascii="Calibri" w:hAnsi="Calibri"/>
          <w:sz w:val="24"/>
          <w:szCs w:val="24"/>
        </w:rPr>
        <w:t>Condizioni di pastorizzazione: intervallo di temperature e tempi di trattamento. Indicatori di trattamento utilizzati per la matrice latte.</w:t>
      </w:r>
    </w:p>
    <w:p w14:paraId="147593C6" w14:textId="77777777" w:rsidR="007A1B8D" w:rsidRPr="007A1B8D" w:rsidRDefault="007A1B8D" w:rsidP="007A1B8D">
      <w:pPr>
        <w:rPr>
          <w:rFonts w:ascii="Calibri" w:hAnsi="Calibri"/>
          <w:sz w:val="24"/>
          <w:szCs w:val="24"/>
        </w:rPr>
      </w:pPr>
      <w:r w:rsidRPr="007A1B8D">
        <w:rPr>
          <w:rFonts w:ascii="Calibri" w:hAnsi="Calibri"/>
          <w:sz w:val="24"/>
          <w:szCs w:val="24"/>
        </w:rPr>
        <w:t>Definizione di numero di ossidabilità per un'acqua destinata al consumo umano: unità di misura e specie chimiche coinvolte</w:t>
      </w:r>
    </w:p>
    <w:sectPr w:rsidR="007A1B8D" w:rsidRPr="007A1B8D" w:rsidSect="00A37A86">
      <w:footerReference w:type="default" r:id="rId8"/>
      <w:pgSz w:w="11907" w:h="16840"/>
      <w:pgMar w:top="1418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41A55" w14:textId="77777777" w:rsidR="0057684B" w:rsidRDefault="0057684B">
      <w:r>
        <w:separator/>
      </w:r>
    </w:p>
  </w:endnote>
  <w:endnote w:type="continuationSeparator" w:id="0">
    <w:p w14:paraId="29C5D887" w14:textId="77777777" w:rsidR="0057684B" w:rsidRDefault="00576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10D9C" w14:textId="77777777" w:rsidR="00C03C8B" w:rsidRDefault="002870A7">
    <w:pPr>
      <w:pStyle w:val="Pidipagina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3ED6C78" wp14:editId="56672AFB">
              <wp:simplePos x="0" y="0"/>
              <wp:positionH relativeFrom="column">
                <wp:posOffset>3175</wp:posOffset>
              </wp:positionH>
              <wp:positionV relativeFrom="paragraph">
                <wp:posOffset>-27940</wp:posOffset>
              </wp:positionV>
              <wp:extent cx="1810385" cy="635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10385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2AB16C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2.2pt" to="142.8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" o:allowincell="f" strokecolor="silver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C6EAB" w14:textId="77777777" w:rsidR="0057684B" w:rsidRDefault="0057684B">
      <w:r>
        <w:separator/>
      </w:r>
    </w:p>
  </w:footnote>
  <w:footnote w:type="continuationSeparator" w:id="0">
    <w:p w14:paraId="337E828F" w14:textId="77777777" w:rsidR="0057684B" w:rsidRDefault="00576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827836"/>
    <w:multiLevelType w:val="hybridMultilevel"/>
    <w:tmpl w:val="FB9079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0NzI3NjM2MjYEYiUdpeDU4uLM/DyQAqNaAJhGs00sAAAA"/>
  </w:docVars>
  <w:rsids>
    <w:rsidRoot w:val="00CE5345"/>
    <w:rsid w:val="00021E37"/>
    <w:rsid w:val="00036882"/>
    <w:rsid w:val="00051A2B"/>
    <w:rsid w:val="000614E7"/>
    <w:rsid w:val="00063DE6"/>
    <w:rsid w:val="00065108"/>
    <w:rsid w:val="000D1E72"/>
    <w:rsid w:val="000F7D1F"/>
    <w:rsid w:val="0011673B"/>
    <w:rsid w:val="00160E22"/>
    <w:rsid w:val="001C0D4C"/>
    <w:rsid w:val="0020493B"/>
    <w:rsid w:val="00215F66"/>
    <w:rsid w:val="002312BE"/>
    <w:rsid w:val="00266DE0"/>
    <w:rsid w:val="002746C6"/>
    <w:rsid w:val="002870A7"/>
    <w:rsid w:val="002B765F"/>
    <w:rsid w:val="003262D5"/>
    <w:rsid w:val="00392AAB"/>
    <w:rsid w:val="003D159C"/>
    <w:rsid w:val="003D4463"/>
    <w:rsid w:val="00431B76"/>
    <w:rsid w:val="00467F67"/>
    <w:rsid w:val="004A6336"/>
    <w:rsid w:val="004B0F31"/>
    <w:rsid w:val="004B2915"/>
    <w:rsid w:val="004D5D75"/>
    <w:rsid w:val="00505239"/>
    <w:rsid w:val="00546789"/>
    <w:rsid w:val="00570E73"/>
    <w:rsid w:val="0057684B"/>
    <w:rsid w:val="005A2712"/>
    <w:rsid w:val="005B1202"/>
    <w:rsid w:val="005B4458"/>
    <w:rsid w:val="005C27DE"/>
    <w:rsid w:val="00605731"/>
    <w:rsid w:val="00614F3D"/>
    <w:rsid w:val="00615B1D"/>
    <w:rsid w:val="0062069B"/>
    <w:rsid w:val="0063367E"/>
    <w:rsid w:val="006533C5"/>
    <w:rsid w:val="006B0B5B"/>
    <w:rsid w:val="006D307B"/>
    <w:rsid w:val="006D77EE"/>
    <w:rsid w:val="007233FB"/>
    <w:rsid w:val="00732677"/>
    <w:rsid w:val="00732FCE"/>
    <w:rsid w:val="007520F7"/>
    <w:rsid w:val="0076275A"/>
    <w:rsid w:val="007A1B8D"/>
    <w:rsid w:val="007A32FA"/>
    <w:rsid w:val="007B75A4"/>
    <w:rsid w:val="007D5CDF"/>
    <w:rsid w:val="00826EE9"/>
    <w:rsid w:val="008641B3"/>
    <w:rsid w:val="0089388D"/>
    <w:rsid w:val="008A2FAF"/>
    <w:rsid w:val="008D5AF9"/>
    <w:rsid w:val="008D677D"/>
    <w:rsid w:val="008E5A2F"/>
    <w:rsid w:val="008F2548"/>
    <w:rsid w:val="009024A7"/>
    <w:rsid w:val="00920253"/>
    <w:rsid w:val="00924566"/>
    <w:rsid w:val="00940096"/>
    <w:rsid w:val="009763E7"/>
    <w:rsid w:val="009873B3"/>
    <w:rsid w:val="009D3012"/>
    <w:rsid w:val="00A27291"/>
    <w:rsid w:val="00A32680"/>
    <w:rsid w:val="00A37A86"/>
    <w:rsid w:val="00A469B0"/>
    <w:rsid w:val="00A5532D"/>
    <w:rsid w:val="00A75144"/>
    <w:rsid w:val="00AB52CC"/>
    <w:rsid w:val="00B15D36"/>
    <w:rsid w:val="00B27D08"/>
    <w:rsid w:val="00B33F2F"/>
    <w:rsid w:val="00B47EEB"/>
    <w:rsid w:val="00B665EF"/>
    <w:rsid w:val="00BB3452"/>
    <w:rsid w:val="00BD125B"/>
    <w:rsid w:val="00BE2F1B"/>
    <w:rsid w:val="00C03C8B"/>
    <w:rsid w:val="00C81FC0"/>
    <w:rsid w:val="00CB4EB8"/>
    <w:rsid w:val="00CE5345"/>
    <w:rsid w:val="00D02D26"/>
    <w:rsid w:val="00D26370"/>
    <w:rsid w:val="00D611A2"/>
    <w:rsid w:val="00D71855"/>
    <w:rsid w:val="00DB6FC3"/>
    <w:rsid w:val="00DC197E"/>
    <w:rsid w:val="00DF071E"/>
    <w:rsid w:val="00E20E3B"/>
    <w:rsid w:val="00E2247F"/>
    <w:rsid w:val="00E46FFC"/>
    <w:rsid w:val="00E96F28"/>
    <w:rsid w:val="00EA7A08"/>
    <w:rsid w:val="00F0686E"/>
    <w:rsid w:val="00FD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3C3CBE"/>
  <w15:chartTrackingRefBased/>
  <w15:docId w15:val="{FB193115-5F44-4C14-9FBB-0423D9282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2"/>
      <w:lang w:val="it-IT" w:eastAsia="it-IT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i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i/>
    </w:rPr>
  </w:style>
  <w:style w:type="paragraph" w:styleId="Titolo5">
    <w:name w:val="heading 5"/>
    <w:basedOn w:val="Normale"/>
    <w:next w:val="Normale"/>
    <w:qFormat/>
    <w:pPr>
      <w:keepNext/>
      <w:ind w:left="-567"/>
      <w:outlineLvl w:val="4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qFormat/>
    <w:pPr>
      <w:tabs>
        <w:tab w:val="left" w:pos="0"/>
      </w:tabs>
      <w:suppressAutoHyphens/>
      <w:spacing w:after="90"/>
      <w:jc w:val="center"/>
    </w:pPr>
    <w:rPr>
      <w:rFonts w:ascii="Courier New" w:hAnsi="Courier New"/>
      <w:b/>
      <w:spacing w:val="-3"/>
      <w:sz w:val="36"/>
    </w:rPr>
  </w:style>
  <w:style w:type="paragraph" w:customStyle="1" w:styleId="didascalia">
    <w:name w:val="didascalia"/>
    <w:basedOn w:val="Normale"/>
    <w:rPr>
      <w:rFonts w:ascii="Courier New" w:hAnsi="Courier New"/>
      <w:sz w:val="24"/>
    </w:rPr>
  </w:style>
  <w:style w:type="paragraph" w:styleId="Testofumetto">
    <w:name w:val="Balloon Text"/>
    <w:basedOn w:val="Normale"/>
    <w:semiHidden/>
    <w:rsid w:val="00546789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9D301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CITTA' DI SAVIGLIANO</dc:creator>
  <cp:keywords/>
  <cp:lastModifiedBy>Chiara Emilia Irma Cordero</cp:lastModifiedBy>
  <cp:revision>8</cp:revision>
  <cp:lastPrinted>2023-08-31T16:27:00Z</cp:lastPrinted>
  <dcterms:created xsi:type="dcterms:W3CDTF">2023-08-31T16:30:00Z</dcterms:created>
  <dcterms:modified xsi:type="dcterms:W3CDTF">2025-11-21T09:47:00Z</dcterms:modified>
</cp:coreProperties>
</file>