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C23DA" w14:textId="77777777" w:rsidR="007A42F4" w:rsidRPr="00A86151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b/>
          <w:bCs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>Analyse publicité</w:t>
      </w:r>
    </w:p>
    <w:p w14:paraId="5F18623F" w14:textId="77777777" w:rsidR="007A42F4" w:rsidRPr="00A86151" w:rsidRDefault="007A42F4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b/>
          <w:bCs/>
          <w:noProof w:val="0"/>
          <w:sz w:val="22"/>
        </w:rPr>
      </w:pPr>
    </w:p>
    <w:p w14:paraId="457DF50F" w14:textId="77777777" w:rsidR="007A42F4" w:rsidRPr="00A86151" w:rsidRDefault="007A42F4" w:rsidP="00BA7A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 xml:space="preserve">L’approche iconique </w:t>
      </w:r>
      <w:r w:rsidRPr="00A86151">
        <w:rPr>
          <w:rFonts w:ascii="Times New Roman" w:hAnsi="Times New Roman" w:cs="Arial"/>
          <w:noProof w:val="0"/>
          <w:sz w:val="22"/>
        </w:rPr>
        <w:t xml:space="preserve">permet de s’appuyer sur les constituants de la construction graphique et de la structure de l'image pour déterminer les zones prégnantes de l'image (masses, formes et couleurs / hiérarchisation et relations spatiales / circulation du regard du lecteur). </w:t>
      </w:r>
    </w:p>
    <w:p w14:paraId="0C2F290D" w14:textId="77777777" w:rsidR="007A42F4" w:rsidRPr="00A86151" w:rsidRDefault="007A42F4" w:rsidP="00BA7A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noProof w:val="0"/>
          <w:sz w:val="22"/>
        </w:rPr>
      </w:pPr>
    </w:p>
    <w:p w14:paraId="0846A115" w14:textId="77777777" w:rsidR="007A42F4" w:rsidRPr="00A86151" w:rsidRDefault="007A42F4" w:rsidP="00BA7A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 xml:space="preserve">- L’approche sémantique </w:t>
      </w:r>
      <w:r w:rsidRPr="00A86151">
        <w:rPr>
          <w:rFonts w:ascii="Times New Roman" w:hAnsi="Times New Roman" w:cs="Arial"/>
          <w:noProof w:val="0"/>
          <w:sz w:val="22"/>
        </w:rPr>
        <w:t xml:space="preserve">interroge les constituants du signe (dénotation / connotation) et identifie des codes utilisés pour comprendre la signification du message. </w:t>
      </w:r>
    </w:p>
    <w:p w14:paraId="189E4F70" w14:textId="77777777" w:rsidR="007A42F4" w:rsidRPr="00A86151" w:rsidRDefault="007A42F4" w:rsidP="00BA7A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noProof w:val="0"/>
          <w:sz w:val="22"/>
        </w:rPr>
      </w:pPr>
    </w:p>
    <w:p w14:paraId="0C5A46FE" w14:textId="77777777" w:rsidR="007A42F4" w:rsidRPr="00A86151" w:rsidRDefault="007A42F4" w:rsidP="00BA7A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 xml:space="preserve">- L’approche communicationnelle </w:t>
      </w:r>
      <w:r w:rsidRPr="00A86151">
        <w:rPr>
          <w:rFonts w:ascii="Times New Roman" w:hAnsi="Times New Roman" w:cs="Arial"/>
          <w:noProof w:val="0"/>
          <w:sz w:val="22"/>
        </w:rPr>
        <w:t xml:space="preserve">permet de comprendre la construction d'un message dans la relation de l’auteur au public (repérage des objectifs marketing : éveil du besoin, confirmation, fidélisation, notoriété... ; identification de la dimension socio-affective : émergence des besoins et des motivations). </w:t>
      </w:r>
    </w:p>
    <w:p w14:paraId="7E6246CD" w14:textId="77777777" w:rsidR="007A42F4" w:rsidRPr="00A86151" w:rsidRDefault="007A42F4" w:rsidP="00BA7A3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noProof w:val="0"/>
          <w:sz w:val="22"/>
        </w:rPr>
      </w:pPr>
    </w:p>
    <w:p w14:paraId="1B432015" w14:textId="77777777" w:rsidR="00420403" w:rsidRPr="00A86151" w:rsidRDefault="007A42F4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b/>
          <w:bCs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 xml:space="preserve">- L’approche sociologique </w:t>
      </w:r>
      <w:r w:rsidRPr="00A86151">
        <w:rPr>
          <w:rFonts w:ascii="Times New Roman" w:hAnsi="Times New Roman" w:cs="Arial"/>
          <w:noProof w:val="0"/>
          <w:sz w:val="22"/>
        </w:rPr>
        <w:t>vise à situer le message dans un contexte de société, à distinguer l'information de la manipulation et de la propagande (phénomène de "théâtralisation" de la consommation, enjeux cachés, vision caricaturale, élitisme, modélisation...).</w:t>
      </w:r>
    </w:p>
    <w:p w14:paraId="793297F9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b/>
          <w:bCs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 xml:space="preserve">1. Relevé </w:t>
      </w:r>
    </w:p>
    <w:p w14:paraId="24FD1D33" w14:textId="77777777" w:rsidR="00420403" w:rsidRPr="00A86151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  <w:szCs w:val="32"/>
        </w:rPr>
      </w:pPr>
      <w:r w:rsidRPr="00A86151">
        <w:rPr>
          <w:rFonts w:ascii="Times New Roman" w:hAnsi="Times New Roman" w:cs="Arial"/>
          <w:noProof w:val="0"/>
          <w:sz w:val="22"/>
        </w:rPr>
        <w:t xml:space="preserve"> Il s'agit d'un relevé de la présence matérielle qui met en exergue les traces formelles, organisationnelles et chromatiques de l'image. Cette phase se situe principalement dans </w:t>
      </w:r>
      <w:r w:rsidRPr="00BA7A38">
        <w:rPr>
          <w:rFonts w:ascii="Times New Roman" w:hAnsi="Times New Roman" w:cs="Arial"/>
          <w:b/>
          <w:noProof w:val="0"/>
          <w:sz w:val="22"/>
        </w:rPr>
        <w:t>l'approche iconique.</w:t>
      </w:r>
      <w:r w:rsidRPr="00A86151">
        <w:rPr>
          <w:rFonts w:ascii="Times New Roman" w:hAnsi="Times New Roman" w:cs="Arial"/>
          <w:noProof w:val="0"/>
          <w:sz w:val="22"/>
        </w:rPr>
        <w:t xml:space="preserve"> A ce niveau de lecture, tous les lecteurs sont d'accord. - environnement coloré, dominante, - organisation des valeurs, des contrastes et de la lumière, - formes organiques, géométriques, lignes, masses, pleins, vides, - composition, structure globale, rapports de masse, lignes directrices, axes de construction, - aspect, texture, grain, piqué, flou. </w:t>
      </w:r>
      <w:r w:rsidRPr="00A86151">
        <w:rPr>
          <w:rFonts w:ascii="Times New Roman" w:hAnsi="Times New Roman" w:cs="Arial"/>
          <w:b/>
          <w:bCs/>
          <w:noProof w:val="0"/>
          <w:sz w:val="22"/>
        </w:rPr>
        <w:t>Pour éviter une longue description de tous les constituants de l'image, cette partie peut se réaliser sous la forme de schémas commentés.</w:t>
      </w:r>
    </w:p>
    <w:p w14:paraId="1D55FD2E" w14:textId="77777777" w:rsidR="00BA7A38" w:rsidRDefault="00BA7A38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  <w:szCs w:val="32"/>
        </w:rPr>
      </w:pPr>
      <w:r>
        <w:rPr>
          <w:rFonts w:ascii="Times New Roman" w:hAnsi="Times New Roman" w:cs="Arial"/>
          <w:b/>
          <w:bCs/>
          <w:noProof w:val="0"/>
          <w:sz w:val="22"/>
        </w:rPr>
        <w:t>2. Dénotation</w:t>
      </w:r>
      <w:r w:rsidR="00420403" w:rsidRPr="00A86151">
        <w:rPr>
          <w:rFonts w:ascii="Times New Roman" w:hAnsi="Times New Roman" w:cs="Arial"/>
          <w:noProof w:val="0"/>
          <w:sz w:val="22"/>
          <w:szCs w:val="32"/>
        </w:rPr>
        <w:t> </w:t>
      </w:r>
    </w:p>
    <w:p w14:paraId="06DE846A" w14:textId="77777777" w:rsidR="00420403" w:rsidRPr="00A86151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  <w:szCs w:val="32"/>
        </w:rPr>
      </w:pPr>
      <w:r w:rsidRPr="00A86151">
        <w:rPr>
          <w:rFonts w:ascii="Times New Roman" w:hAnsi="Times New Roman" w:cs="Arial"/>
          <w:noProof w:val="0"/>
          <w:sz w:val="22"/>
        </w:rPr>
        <w:t xml:space="preserve">Cette deuxième étape vise à relever la présence immatérielle des éléments de l'image. Il s'agit d'un relevé d'indices pour un inventaire exhaustif et pertinent. C'est une interprétation informationnelle ; on doit conserver une certaine "neutralité" et un consensus de lecture.  - liste descriptive et organisation des éléments représentés : on nomme </w:t>
      </w:r>
      <w:r w:rsidRPr="00BA7A38">
        <w:rPr>
          <w:rFonts w:ascii="Times New Roman" w:hAnsi="Times New Roman" w:cs="Arial"/>
          <w:noProof w:val="0"/>
          <w:sz w:val="22"/>
        </w:rPr>
        <w:t xml:space="preserve">les objets. - cadrage, angle de prise de vue, </w:t>
      </w:r>
      <w:proofErr w:type="gramStart"/>
      <w:r w:rsidRPr="00BA7A38">
        <w:rPr>
          <w:rFonts w:ascii="Times New Roman" w:hAnsi="Times New Roman" w:cs="Arial"/>
          <w:noProof w:val="0"/>
          <w:sz w:val="22"/>
        </w:rPr>
        <w:t>profondeur</w:t>
      </w:r>
      <w:r w:rsidRPr="00A86151">
        <w:rPr>
          <w:rFonts w:ascii="Times New Roman" w:hAnsi="Times New Roman" w:cs="Arial"/>
          <w:noProof w:val="0"/>
          <w:sz w:val="22"/>
          <w:szCs w:val="32"/>
        </w:rPr>
        <w:t xml:space="preserve"> .</w:t>
      </w:r>
      <w:proofErr w:type="gramEnd"/>
    </w:p>
    <w:p w14:paraId="218A7A8D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b/>
          <w:bCs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 xml:space="preserve">3. Connotation </w:t>
      </w:r>
    </w:p>
    <w:p w14:paraId="588C34DC" w14:textId="77777777" w:rsidR="00420403" w:rsidRPr="00A86151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  <w:szCs w:val="32"/>
        </w:rPr>
      </w:pPr>
      <w:r w:rsidRPr="00A86151">
        <w:rPr>
          <w:rFonts w:ascii="Times New Roman" w:hAnsi="Times New Roman" w:cs="Arial"/>
          <w:noProof w:val="0"/>
          <w:sz w:val="22"/>
        </w:rPr>
        <w:t>Cette phase permet de relever la présence métaphorique. Par la mise</w:t>
      </w:r>
      <w:r w:rsidR="00BA7A38">
        <w:rPr>
          <w:rFonts w:ascii="Times New Roman" w:hAnsi="Times New Roman" w:cs="Arial"/>
          <w:noProof w:val="0"/>
          <w:sz w:val="22"/>
        </w:rPr>
        <w:t xml:space="preserve"> en relation des relevés précéde</w:t>
      </w:r>
      <w:r w:rsidRPr="00A86151">
        <w:rPr>
          <w:rFonts w:ascii="Times New Roman" w:hAnsi="Times New Roman" w:cs="Arial"/>
          <w:noProof w:val="0"/>
          <w:sz w:val="22"/>
        </w:rPr>
        <w:t>nts et le repérage des codes, on propose des hypothèses pour établir les sens des lectures. C'est une interprétation personnelle déductive et argumentée de l'ordre de l'approche sémantique.</w:t>
      </w:r>
    </w:p>
    <w:p w14:paraId="15D4BA42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b/>
          <w:bCs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>4. Conclusion </w:t>
      </w:r>
    </w:p>
    <w:p w14:paraId="1CFA43C1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noProof w:val="0"/>
          <w:sz w:val="22"/>
        </w:rPr>
        <w:t xml:space="preserve">En conclusion, on abordera l'approche communicationnelle : </w:t>
      </w:r>
    </w:p>
    <w:p w14:paraId="48060B6B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noProof w:val="0"/>
          <w:sz w:val="22"/>
        </w:rPr>
        <w:t> - Quelle est la signification globale en terme de communication ?</w:t>
      </w:r>
    </w:p>
    <w:p w14:paraId="2AF0EC94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noProof w:val="0"/>
          <w:sz w:val="22"/>
        </w:rPr>
        <w:t> - Quelles sont les intentions volontaires de l'auteur-émetteur ? </w:t>
      </w:r>
    </w:p>
    <w:p w14:paraId="77B0A209" w14:textId="77777777" w:rsidR="00BA7A38" w:rsidRDefault="00420403" w:rsidP="00BA7A38">
      <w:pPr>
        <w:widowControl w:val="0"/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noProof w:val="0"/>
          <w:sz w:val="22"/>
        </w:rPr>
        <w:lastRenderedPageBreak/>
        <w:t xml:space="preserve">Pour terminer, une contextualisation des découvertes permettra l'approche sociologique </w:t>
      </w:r>
      <w:proofErr w:type="gramStart"/>
      <w:r w:rsidRPr="00A86151">
        <w:rPr>
          <w:rFonts w:ascii="Times New Roman" w:hAnsi="Times New Roman" w:cs="Arial"/>
          <w:noProof w:val="0"/>
          <w:sz w:val="22"/>
        </w:rPr>
        <w:t>: </w:t>
      </w:r>
      <w:proofErr w:type="gramEnd"/>
    </w:p>
    <w:p w14:paraId="4E451CEB" w14:textId="77777777" w:rsidR="00BA7A38" w:rsidRPr="00BA7A38" w:rsidRDefault="00420403" w:rsidP="00BA7A3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</w:rPr>
      </w:pPr>
      <w:r w:rsidRPr="00BA7A38">
        <w:rPr>
          <w:rFonts w:ascii="Times New Roman" w:hAnsi="Times New Roman" w:cs="Arial"/>
          <w:noProof w:val="0"/>
          <w:sz w:val="22"/>
        </w:rPr>
        <w:t xml:space="preserve">Quels renseignements sont produits sur les codes ou les conventions utilisés ? </w:t>
      </w:r>
    </w:p>
    <w:p w14:paraId="4C7341B5" w14:textId="77777777" w:rsidR="00420403" w:rsidRPr="00BA7A38" w:rsidRDefault="00420403" w:rsidP="00BA7A3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320"/>
        <w:jc w:val="both"/>
        <w:rPr>
          <w:rFonts w:ascii="Times New Roman" w:hAnsi="Times New Roman" w:cs="Arial"/>
          <w:noProof w:val="0"/>
          <w:sz w:val="22"/>
          <w:szCs w:val="32"/>
        </w:rPr>
      </w:pPr>
      <w:r w:rsidRPr="00BA7A38">
        <w:rPr>
          <w:rFonts w:ascii="Times New Roman" w:hAnsi="Times New Roman" w:cs="Arial"/>
          <w:noProof w:val="0"/>
          <w:sz w:val="22"/>
        </w:rPr>
        <w:t> - Quels paradoxes apparaissent ? Quels effets secondaires sont produits ?</w:t>
      </w:r>
    </w:p>
    <w:p w14:paraId="7CAC8A87" w14:textId="77777777" w:rsidR="00BA7A38" w:rsidRDefault="00420403" w:rsidP="00BA7A38">
      <w:pPr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b/>
          <w:bCs/>
          <w:noProof w:val="0"/>
          <w:sz w:val="22"/>
        </w:rPr>
        <w:t>Les erreurs fréquentes</w:t>
      </w:r>
      <w:r w:rsidRPr="00A86151">
        <w:rPr>
          <w:rFonts w:ascii="Times New Roman" w:hAnsi="Times New Roman" w:cs="Arial"/>
          <w:noProof w:val="0"/>
          <w:sz w:val="22"/>
          <w:szCs w:val="32"/>
        </w:rPr>
        <w:t xml:space="preserve">  </w:t>
      </w:r>
      <w:r w:rsidRPr="00A86151">
        <w:rPr>
          <w:rFonts w:ascii="Times New Roman" w:hAnsi="Times New Roman" w:cs="Arial"/>
          <w:noProof w:val="0"/>
          <w:sz w:val="22"/>
        </w:rPr>
        <w:t xml:space="preserve">- Les déductions hâtives, trop arbitraires ou sans argument </w:t>
      </w:r>
      <w:r w:rsidR="00BA7A38">
        <w:rPr>
          <w:rFonts w:ascii="Times New Roman" w:hAnsi="Times New Roman" w:cs="Arial"/>
          <w:noProof w:val="0"/>
          <w:sz w:val="22"/>
        </w:rPr>
        <w:t>amènent</w:t>
      </w:r>
      <w:r w:rsidRPr="00A86151">
        <w:rPr>
          <w:rFonts w:ascii="Times New Roman" w:hAnsi="Times New Roman" w:cs="Arial"/>
          <w:noProof w:val="0"/>
          <w:sz w:val="22"/>
        </w:rPr>
        <w:t xml:space="preserve"> </w:t>
      </w:r>
      <w:r w:rsidR="00BA7A38">
        <w:rPr>
          <w:rFonts w:ascii="Times New Roman" w:hAnsi="Times New Roman" w:cs="Arial"/>
          <w:noProof w:val="0"/>
          <w:sz w:val="22"/>
        </w:rPr>
        <w:t>à</w:t>
      </w:r>
      <w:r w:rsidRPr="00A86151">
        <w:rPr>
          <w:rFonts w:ascii="Times New Roman" w:hAnsi="Times New Roman" w:cs="Arial"/>
          <w:noProof w:val="0"/>
          <w:sz w:val="22"/>
        </w:rPr>
        <w:t xml:space="preserve"> des propos généralistes et sans intérêt. Il s'agit pourtant de relever des traces, trouver des indices, émettre des hypothèses et </w:t>
      </w:r>
      <w:r w:rsidR="00BA7A38">
        <w:rPr>
          <w:rFonts w:ascii="Times New Roman" w:hAnsi="Times New Roman" w:cs="Arial"/>
          <w:noProof w:val="0"/>
          <w:sz w:val="22"/>
        </w:rPr>
        <w:t>argumenter son raisonnement.  </w:t>
      </w:r>
    </w:p>
    <w:p w14:paraId="024B4BB7" w14:textId="77777777" w:rsidR="00BA7A38" w:rsidRDefault="00420403" w:rsidP="00BA7A38">
      <w:pPr>
        <w:jc w:val="both"/>
        <w:rPr>
          <w:rFonts w:ascii="Times New Roman" w:hAnsi="Times New Roman" w:cs="Arial"/>
          <w:noProof w:val="0"/>
          <w:sz w:val="22"/>
        </w:rPr>
      </w:pPr>
      <w:r w:rsidRPr="00A86151">
        <w:rPr>
          <w:rFonts w:ascii="Times New Roman" w:hAnsi="Times New Roman" w:cs="Arial"/>
          <w:noProof w:val="0"/>
          <w:sz w:val="22"/>
        </w:rPr>
        <w:t> - L'analyse qui reste descriptive est révélatrice d'un manque de compréhension des enjeux de l'image ou d'un désintérêt à se poser des questions ! </w:t>
      </w:r>
    </w:p>
    <w:p w14:paraId="1DA469E6" w14:textId="77777777" w:rsidR="007A42F4" w:rsidRPr="00A86151" w:rsidRDefault="00420403" w:rsidP="00BA7A38">
      <w:pPr>
        <w:jc w:val="both"/>
        <w:rPr>
          <w:rFonts w:ascii="Times New Roman" w:hAnsi="Times New Roman"/>
          <w:sz w:val="22"/>
        </w:rPr>
      </w:pPr>
      <w:bookmarkStart w:id="0" w:name="_GoBack"/>
      <w:bookmarkEnd w:id="0"/>
      <w:r w:rsidRPr="00A86151">
        <w:rPr>
          <w:rFonts w:ascii="Times New Roman" w:hAnsi="Times New Roman" w:cs="Arial"/>
          <w:noProof w:val="0"/>
          <w:sz w:val="22"/>
        </w:rPr>
        <w:t>- Bannir les certitudes ! Utiliser "peut-être", "il me semble que", "apparaît comme"… langage beaucoup plus prudent dans l'affirmation des hypothèses.</w:t>
      </w:r>
    </w:p>
    <w:sectPr w:rsidR="007A42F4" w:rsidRPr="00A86151" w:rsidSect="007A42F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25C"/>
    <w:multiLevelType w:val="hybridMultilevel"/>
    <w:tmpl w:val="C062173A"/>
    <w:lvl w:ilvl="0" w:tplc="55FE66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03"/>
    <w:rsid w:val="00420403"/>
    <w:rsid w:val="007A42F4"/>
    <w:rsid w:val="007F62A8"/>
    <w:rsid w:val="00A86151"/>
    <w:rsid w:val="00BA7A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17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1B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0403"/>
    <w:pPr>
      <w:spacing w:beforeLines="1" w:afterLines="1"/>
    </w:pPr>
    <w:rPr>
      <w:rFonts w:ascii="Times" w:hAnsi="Times" w:cs="Times New Roman"/>
      <w:noProof w:val="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A7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1B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0403"/>
    <w:pPr>
      <w:spacing w:beforeLines="1" w:afterLines="1"/>
    </w:pPr>
    <w:rPr>
      <w:rFonts w:ascii="Times" w:hAnsi="Times" w:cs="Times New Roman"/>
      <w:noProof w:val="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A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2939</Characters>
  <Application>Microsoft Macintosh Word</Application>
  <DocSecurity>0</DocSecurity>
  <Lines>24</Lines>
  <Paragraphs>6</Paragraphs>
  <ScaleCrop>false</ScaleCrop>
  <Company>Université de Caen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cp:lastModifiedBy>Olivia Galisson</cp:lastModifiedBy>
  <cp:revision>2</cp:revision>
  <dcterms:created xsi:type="dcterms:W3CDTF">2014-04-09T19:23:00Z</dcterms:created>
  <dcterms:modified xsi:type="dcterms:W3CDTF">2014-04-09T19:23:00Z</dcterms:modified>
</cp:coreProperties>
</file>