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4814"/>
        <w:gridCol w:w="4814"/>
      </w:tblGrid>
      <w:tr w:rsidR="00BF4B31" w:rsidRPr="00BF4B31" w:rsidTr="00BF4B31">
        <w:tc>
          <w:tcPr>
            <w:tcW w:w="4814" w:type="dxa"/>
          </w:tcPr>
          <w:p w:rsidR="00BF4B31" w:rsidRPr="00BF4B31" w:rsidRDefault="00BF4B31" w:rsidP="00BF4B31">
            <w:pPr>
              <w:pStyle w:val="NormaleWeb"/>
              <w:jc w:val="both"/>
              <w:rPr>
                <w:rFonts w:ascii="Arial" w:hAnsi="Arial" w:cs="Arial"/>
                <w:color w:val="000066"/>
                <w:lang w:val="de-DE"/>
              </w:rPr>
            </w:pPr>
            <w:r w:rsidRPr="00BF4B31">
              <w:rPr>
                <w:rStyle w:val="Enfasigrassetto"/>
                <w:rFonts w:ascii="Arial" w:hAnsi="Arial" w:cs="Arial"/>
                <w:color w:val="000066"/>
                <w:lang w:val="de-DE"/>
              </w:rPr>
              <w:t>DIE TYPOLOGIE DER RECHTSAKTE</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Artikel I-33 unterscheidet Rechtsakte mit und ohne Gesetzescharakter. Jede der beiden Arten wird in einem eigenen Artikel behandelt: Artikel I-34 befasst sich mit Gesetzgebungsakten und I-35 mit Rechtsakten ohne Gesetzescharakter.</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Es gibt zwei Arten von Gesetzgebungsakten: das Europäische Gesetz und das Europäische Rahmengesetz.</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Derzeit sind in Artikel 249 des EG-Vertrags fünf Basisrechtsakte (Richtlinie, Verordnung, Entscheidung, Empfehlung, Stellungnahme) und deren Geltungsbereiche aufgeführt. Zwischen diesen Rechtsakten und den neuen Bezeichnungen bestehen gewisse Entsprechungen.</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So deckt sich die Definition des Europäischen Gesetzes zum Beispiel mit jener der Verordnung, wie wir sie derzeit kennen. Genau wie die Verordnung gilt das Europäische Gesetz unmittelbar in allen Mitgliedstaaten und bedarf keiner Umsetzung in nationales Recht.</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Die Definition des Europäischen Rahmengesetzes entspricht jener der Richtlinie. Es legt die zu erreichenden Ziele fest, überlässt jedoch den Mitgliedstaaten die Wahl der Mittel, mit denen die Ziele innerhalb einer bestimmten Frist zu erreichen sind.</w:t>
            </w:r>
            <w:r w:rsidRPr="00BF4B31">
              <w:rPr>
                <w:rStyle w:val="apple-converted-space"/>
                <w:rFonts w:ascii="Arial" w:hAnsi="Arial" w:cs="Arial"/>
                <w:color w:val="000066"/>
                <w:lang w:val="de-DE"/>
              </w:rPr>
              <w:t> </w:t>
            </w:r>
            <w:r w:rsidRPr="00BF4B31">
              <w:rPr>
                <w:rFonts w:ascii="Arial" w:hAnsi="Arial" w:cs="Arial"/>
                <w:color w:val="000066"/>
                <w:lang w:val="de-DE"/>
              </w:rPr>
              <w:br/>
              <w:t>Artikel I-34 legt die Modalitäten für das Erlassen von Gesetzen und Rahmengesetzen im Einzelnen fest. In den meisten Fällen kommt das ordentlichen Gesetzgebungsverfahren zur Anwendung.</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Es gibt vier Rechtsakte ohne Gesetzescharakter (Artikel I-35): Europäische Verordnungen, Europäische Beschlüsse, Empfehlungen und Stellungnahmen.</w:t>
            </w:r>
            <w:r w:rsidRPr="00BF4B31">
              <w:rPr>
                <w:rStyle w:val="apple-converted-space"/>
                <w:rFonts w:ascii="Arial" w:hAnsi="Arial" w:cs="Arial"/>
                <w:color w:val="000066"/>
                <w:lang w:val="de-DE"/>
              </w:rPr>
              <w:t> </w:t>
            </w:r>
            <w:r w:rsidRPr="00BF4B31">
              <w:rPr>
                <w:rFonts w:ascii="Arial" w:hAnsi="Arial" w:cs="Arial"/>
                <w:color w:val="000066"/>
                <w:lang w:val="de-DE"/>
              </w:rPr>
              <w:br/>
              <w:t xml:space="preserve">Laut Verfassung ist die Europäische Verordnung ein Rechtsakt mit allgemeiner </w:t>
            </w:r>
            <w:r w:rsidRPr="00BF4B31">
              <w:rPr>
                <w:rFonts w:ascii="Arial" w:hAnsi="Arial" w:cs="Arial"/>
                <w:color w:val="000066"/>
                <w:lang w:val="de-DE"/>
              </w:rPr>
              <w:lastRenderedPageBreak/>
              <w:t xml:space="preserve">Geltung ohne Gesetzescharakter. Sie dient der Durchführung der Gesetzgebungsakte und bestimmter Einzelvorschriften der Verfassung. Diese Verordnungen können auch die Form von delegierten </w:t>
            </w:r>
            <w:proofErr w:type="spellStart"/>
            <w:r w:rsidRPr="00BF4B31">
              <w:rPr>
                <w:rFonts w:ascii="Arial" w:hAnsi="Arial" w:cs="Arial"/>
                <w:color w:val="000066"/>
                <w:lang w:val="de-DE"/>
              </w:rPr>
              <w:t>EuropäischenVerordnungen</w:t>
            </w:r>
            <w:proofErr w:type="spellEnd"/>
            <w:r w:rsidRPr="00BF4B31">
              <w:rPr>
                <w:rFonts w:ascii="Arial" w:hAnsi="Arial" w:cs="Arial"/>
                <w:color w:val="000066"/>
                <w:lang w:val="de-DE"/>
              </w:rPr>
              <w:t xml:space="preserve"> oder von Durchführungsrechtsakten haben.</w:t>
            </w:r>
            <w:r w:rsidRPr="00BF4B31">
              <w:rPr>
                <w:rStyle w:val="apple-converted-space"/>
                <w:rFonts w:ascii="Arial" w:hAnsi="Arial" w:cs="Arial"/>
                <w:color w:val="000066"/>
                <w:lang w:val="de-DE"/>
              </w:rPr>
              <w:t> </w:t>
            </w:r>
            <w:r w:rsidRPr="00BF4B31">
              <w:rPr>
                <w:rFonts w:ascii="Arial" w:hAnsi="Arial" w:cs="Arial"/>
                <w:color w:val="000066"/>
                <w:lang w:val="de-DE"/>
              </w:rPr>
              <w:br/>
              <w:t>Sie können in allen Bestandteilen verpflichtend sein oder nur im Hinblick auf die zu erreichenden Ergebnisse.</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Außerdem umfasst der Europäische Beschluss in seiner neuen Definition sowohl Beschlüsse, die an bestimmte Adressatinnen und Adressaten gerichtet sind als auch allgemeine Beschlüsse, was auf Entscheidungen im Sinne von Artikel 249 EG-Vertrag nicht zutrifft, da diese nur für diejenigen verbindlich sind, die sie bezeichnen.</w:t>
            </w:r>
            <w:r w:rsidRPr="00BF4B31">
              <w:rPr>
                <w:rStyle w:val="apple-converted-space"/>
                <w:rFonts w:ascii="Arial" w:hAnsi="Arial" w:cs="Arial"/>
                <w:color w:val="000066"/>
                <w:lang w:val="de-DE"/>
              </w:rPr>
              <w:t> </w:t>
            </w:r>
            <w:r w:rsidRPr="00BF4B31">
              <w:rPr>
                <w:rFonts w:ascii="Arial" w:hAnsi="Arial" w:cs="Arial"/>
                <w:color w:val="000066"/>
                <w:lang w:val="de-DE"/>
              </w:rPr>
              <w:br/>
              <w:t>Zu den Rechtsakten ohne Gesetzescharakter gehören auch Empfehlungen und Stellungnahmen, die keine bindende Wirkung haben.</w:t>
            </w:r>
          </w:p>
          <w:p w:rsidR="00BF4B31" w:rsidRPr="00BF4B31" w:rsidRDefault="00BF4B31" w:rsidP="00BF4B31">
            <w:pPr>
              <w:pStyle w:val="NormaleWeb"/>
              <w:jc w:val="both"/>
              <w:rPr>
                <w:rFonts w:ascii="Arial" w:hAnsi="Arial" w:cs="Arial"/>
                <w:color w:val="000066"/>
                <w:lang w:val="de-DE"/>
              </w:rPr>
            </w:pPr>
            <w:r w:rsidRPr="00BF4B31">
              <w:rPr>
                <w:rFonts w:ascii="Arial" w:hAnsi="Arial" w:cs="Arial"/>
                <w:color w:val="000066"/>
                <w:lang w:val="de-DE"/>
              </w:rPr>
              <w:t>Artikel I-35 letzter Absatz bestätigt die allgemeine Befugnis der Kommission, Empfehlungen auszusprechen, wie in Artikel 211 EG-Vertrag vorgesehen, und weitet jene des Rates (Artikel I-35) aus.</w:t>
            </w:r>
          </w:p>
          <w:p w:rsidR="00BF4B31" w:rsidRPr="00BF4B31" w:rsidRDefault="00BF4B31" w:rsidP="00BF4B31">
            <w:pPr>
              <w:pStyle w:val="NormaleWeb"/>
              <w:jc w:val="both"/>
              <w:rPr>
                <w:rStyle w:val="Enfasigrassetto"/>
                <w:rFonts w:ascii="Arial" w:hAnsi="Arial" w:cs="Arial"/>
                <w:color w:val="000066"/>
                <w:lang w:val="de-DE"/>
              </w:rPr>
            </w:pPr>
          </w:p>
        </w:tc>
        <w:tc>
          <w:tcPr>
            <w:tcW w:w="4814" w:type="dxa"/>
          </w:tcPr>
          <w:p w:rsidR="00BF4B31" w:rsidRPr="00BF4B31" w:rsidRDefault="00BF4B31" w:rsidP="00BF4B31">
            <w:pPr>
              <w:pStyle w:val="NormaleWeb"/>
              <w:jc w:val="both"/>
              <w:rPr>
                <w:rFonts w:ascii="Arial" w:hAnsi="Arial" w:cs="Arial"/>
                <w:color w:val="000066"/>
              </w:rPr>
            </w:pPr>
            <w:r w:rsidRPr="00BF4B31">
              <w:rPr>
                <w:rStyle w:val="Enfasigrassetto"/>
                <w:rFonts w:ascii="Arial" w:hAnsi="Arial" w:cs="Arial"/>
                <w:color w:val="000066"/>
              </w:rPr>
              <w:lastRenderedPageBreak/>
              <w:t>TIPOLOGIA DEGLI ATTI GIURIDICI</w:t>
            </w:r>
          </w:p>
          <w:p w:rsidR="00BF4B31" w:rsidRPr="00BF4B31" w:rsidRDefault="00BF4B31" w:rsidP="00BF4B31">
            <w:pPr>
              <w:pStyle w:val="NormaleWeb"/>
              <w:jc w:val="both"/>
              <w:rPr>
                <w:rFonts w:ascii="Arial" w:hAnsi="Arial" w:cs="Arial"/>
                <w:color w:val="000066"/>
              </w:rPr>
            </w:pPr>
            <w:r w:rsidRPr="00BF4B31">
              <w:rPr>
                <w:rFonts w:ascii="Arial" w:hAnsi="Arial" w:cs="Arial"/>
                <w:color w:val="000066"/>
              </w:rPr>
              <w:t>L'articolo I-33 opera una distinzione tra atti legislativi e atti non legislativi. Ciascuna categoria viene ripresa in un articolo specifico: articolo I-34 per gli atti legislativi e articolo I-35 per gli atti non legislativi.</w:t>
            </w: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Gli atti legislativi sono due, e precisamente la legge e la legge quadro.</w:t>
            </w:r>
          </w:p>
          <w:p w:rsidR="00BF4B31" w:rsidRP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Per il momento l'articolo 249 del trattato CE elenca i cinque atti di base ora in vigore (direttiva, regolamento, decisione, raccomandazione e parere) e i loro effetti ed è dunque possibile stabilire corrispondenze tra tali atti e le nuove denominazioni.</w:t>
            </w:r>
          </w:p>
          <w:p w:rsidR="00BF4B31" w:rsidRDefault="00BF4B31" w:rsidP="00BF4B31">
            <w:pPr>
              <w:pStyle w:val="NormaleWeb"/>
              <w:spacing w:before="0" w:beforeAutospacing="0" w:after="0" w:afterAutospacing="0"/>
              <w:jc w:val="both"/>
              <w:rPr>
                <w:rFonts w:ascii="Arial" w:hAnsi="Arial" w:cs="Arial"/>
                <w:color w:val="000066"/>
              </w:rPr>
            </w:pPr>
          </w:p>
          <w:p w:rsidR="00BF4B31" w:rsidRDefault="00BF4B31" w:rsidP="00BF4B31">
            <w:pPr>
              <w:pStyle w:val="NormaleWeb"/>
              <w:spacing w:before="0" w:beforeAutospacing="0" w:after="0" w:afterAutospacing="0"/>
              <w:jc w:val="both"/>
              <w:rPr>
                <w:rFonts w:ascii="Arial" w:hAnsi="Arial" w:cs="Arial"/>
                <w:color w:val="000066"/>
              </w:rPr>
            </w:pP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Così, la definizione di legge europea corrisponde a quella di regolamento come lo conosciamo attualmente. Proprio come il regolamento, la legge europea è direttamente applicabile in ciascuno degli Stati membri e non richiede alcun recepimento nel diritto nazionale.</w:t>
            </w: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La definizione di legge quadro europea corrisponde a quella di direttiva. Essa fissa gli obiettivi da conseguire, ma demanda agli Stati membri la scelta delle misure da adottare per raggiungere tali obiettivi entro una determinata scadenza.</w:t>
            </w:r>
            <w:r w:rsidRPr="00BF4B31">
              <w:rPr>
                <w:rStyle w:val="apple-converted-space"/>
                <w:rFonts w:ascii="Arial" w:hAnsi="Arial" w:cs="Arial"/>
                <w:color w:val="000066"/>
              </w:rPr>
              <w:t> </w:t>
            </w:r>
            <w:r w:rsidRPr="00BF4B31">
              <w:rPr>
                <w:rFonts w:ascii="Arial" w:hAnsi="Arial" w:cs="Arial"/>
                <w:color w:val="000066"/>
              </w:rPr>
              <w:br/>
            </w: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L'articolo I-34 specifica le modalità di adozione delle leggi e delle leggi quadro, che nella maggior parte dei casi vengono adottate secondo la procedura legislativa ordinaria.</w:t>
            </w:r>
          </w:p>
          <w:p w:rsidR="00BF4B31" w:rsidRP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Gli atti non legislativi (articolo I-35) sono quattro: i regolamenti europei, le decisioni europee, le raccomandazioni e i pareri.</w:t>
            </w:r>
            <w:r w:rsidRPr="00BF4B31">
              <w:rPr>
                <w:rStyle w:val="apple-converted-space"/>
                <w:rFonts w:ascii="Arial" w:hAnsi="Arial" w:cs="Arial"/>
                <w:color w:val="000066"/>
              </w:rPr>
              <w:t> </w:t>
            </w:r>
            <w:r w:rsidRPr="00BF4B31">
              <w:rPr>
                <w:rFonts w:ascii="Arial" w:hAnsi="Arial" w:cs="Arial"/>
                <w:color w:val="000066"/>
              </w:rPr>
              <w:br/>
            </w: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 xml:space="preserve">Secondo la Costituzione, il regolamento europeo è un atto non legislativo di portata </w:t>
            </w:r>
            <w:r w:rsidRPr="00BF4B31">
              <w:rPr>
                <w:rFonts w:ascii="Arial" w:hAnsi="Arial" w:cs="Arial"/>
                <w:color w:val="000066"/>
              </w:rPr>
              <w:lastRenderedPageBreak/>
              <w:t>generale che realizza atti legislativi e talune disposizioni specifiche della Costituzione. Essi possono anche assumere la forma di regolamenti europei delegati o di regolamenti esecutivi.</w:t>
            </w:r>
          </w:p>
          <w:p w:rsidR="00BF4B31" w:rsidRDefault="00BF4B31" w:rsidP="00BF4B31">
            <w:pPr>
              <w:pStyle w:val="NormaleWeb"/>
              <w:spacing w:before="0" w:beforeAutospacing="0" w:after="0" w:afterAutospacing="0"/>
              <w:jc w:val="both"/>
              <w:rPr>
                <w:rFonts w:ascii="Arial" w:hAnsi="Arial" w:cs="Arial"/>
                <w:color w:val="000066"/>
              </w:rPr>
            </w:pPr>
          </w:p>
          <w:p w:rsid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Tali regolamenti potranno essere obbligatori in tutti i loro elementi o obbligatori soltanto per i risultati da conseguire.</w:t>
            </w:r>
            <w:r w:rsidRPr="00BF4B31">
              <w:rPr>
                <w:rStyle w:val="apple-converted-space"/>
                <w:rFonts w:ascii="Arial" w:hAnsi="Arial" w:cs="Arial"/>
                <w:color w:val="000066"/>
              </w:rPr>
              <w:t> </w:t>
            </w:r>
            <w:r w:rsidRPr="00BF4B31">
              <w:rPr>
                <w:rFonts w:ascii="Arial" w:hAnsi="Arial" w:cs="Arial"/>
                <w:color w:val="000066"/>
              </w:rPr>
              <w:br/>
            </w:r>
          </w:p>
          <w:p w:rsidR="00BF4B31" w:rsidRPr="00BF4B31" w:rsidRDefault="00BF4B31" w:rsidP="00BF4B31">
            <w:pPr>
              <w:pStyle w:val="NormaleWeb"/>
              <w:spacing w:before="0" w:beforeAutospacing="0" w:after="0" w:afterAutospacing="0"/>
              <w:jc w:val="both"/>
              <w:rPr>
                <w:rFonts w:ascii="Arial" w:hAnsi="Arial" w:cs="Arial"/>
                <w:color w:val="000066"/>
              </w:rPr>
            </w:pPr>
            <w:r w:rsidRPr="00BF4B31">
              <w:rPr>
                <w:rFonts w:ascii="Arial" w:hAnsi="Arial" w:cs="Arial"/>
                <w:color w:val="000066"/>
              </w:rPr>
              <w:t>La decisione europea, nella sua nuova definizione, comprenderà tanto la decisione rivolta a destinatari specifici quanto la decisione generale, diversamente dalla decisione a norma dell'articolo 249 del trattato CE, che invece interessa unicamente i destinatari da essa designati.</w:t>
            </w:r>
          </w:p>
          <w:p w:rsidR="00BF4B31" w:rsidRDefault="00BF4B31" w:rsidP="00BF4B31">
            <w:pPr>
              <w:pStyle w:val="NormaleWeb"/>
              <w:spacing w:before="0" w:beforeAutospacing="0" w:after="0" w:afterAutospacing="0"/>
              <w:jc w:val="both"/>
              <w:rPr>
                <w:rFonts w:ascii="Arial" w:hAnsi="Arial" w:cs="Arial"/>
                <w:color w:val="000066"/>
              </w:rPr>
            </w:pPr>
          </w:p>
          <w:p w:rsidR="00BF4B31" w:rsidRDefault="00BF4B31" w:rsidP="00BF4B31">
            <w:pPr>
              <w:pStyle w:val="NormaleWeb"/>
              <w:spacing w:before="0" w:beforeAutospacing="0" w:after="0" w:afterAutospacing="0"/>
              <w:jc w:val="both"/>
              <w:rPr>
                <w:rFonts w:ascii="Arial" w:hAnsi="Arial" w:cs="Arial"/>
                <w:color w:val="000066"/>
              </w:rPr>
            </w:pPr>
          </w:p>
          <w:p w:rsidR="00BF4B31" w:rsidRPr="00BF4B31" w:rsidRDefault="00BF4B31" w:rsidP="00BF4B31">
            <w:pPr>
              <w:pStyle w:val="NormaleWeb"/>
              <w:spacing w:before="0" w:beforeAutospacing="0" w:after="0" w:afterAutospacing="0"/>
              <w:jc w:val="both"/>
              <w:rPr>
                <w:rFonts w:ascii="Arial" w:hAnsi="Arial" w:cs="Arial"/>
                <w:color w:val="000066"/>
              </w:rPr>
            </w:pPr>
            <w:bookmarkStart w:id="0" w:name="_GoBack"/>
            <w:bookmarkEnd w:id="0"/>
            <w:r w:rsidRPr="00BF4B31">
              <w:rPr>
                <w:rFonts w:ascii="Arial" w:hAnsi="Arial" w:cs="Arial"/>
                <w:color w:val="000066"/>
              </w:rPr>
              <w:t>Figurano tra gli atti non legislativi anche le raccomandazioni e i pareri, che non hanno peraltro effetto vincolante.</w:t>
            </w:r>
            <w:r w:rsidRPr="00BF4B31">
              <w:rPr>
                <w:rStyle w:val="apple-converted-space"/>
                <w:rFonts w:ascii="Arial" w:hAnsi="Arial" w:cs="Arial"/>
                <w:color w:val="000066"/>
              </w:rPr>
              <w:t> </w:t>
            </w:r>
            <w:r w:rsidRPr="00BF4B31">
              <w:rPr>
                <w:rFonts w:ascii="Arial" w:hAnsi="Arial" w:cs="Arial"/>
                <w:color w:val="000066"/>
              </w:rPr>
              <w:br/>
            </w:r>
          </w:p>
          <w:p w:rsidR="00BF4B31" w:rsidRPr="00BF4B31" w:rsidRDefault="00BF4B31" w:rsidP="00BF4B31">
            <w:pPr>
              <w:pStyle w:val="NormaleWeb"/>
              <w:jc w:val="both"/>
              <w:rPr>
                <w:rStyle w:val="Enfasigrassetto"/>
                <w:rFonts w:ascii="Arial" w:hAnsi="Arial" w:cs="Arial"/>
                <w:b w:val="0"/>
                <w:bCs w:val="0"/>
                <w:color w:val="000066"/>
              </w:rPr>
            </w:pPr>
            <w:r w:rsidRPr="00BF4B31">
              <w:rPr>
                <w:rFonts w:ascii="Arial" w:hAnsi="Arial" w:cs="Arial"/>
                <w:color w:val="000066"/>
              </w:rPr>
              <w:t>L'articolo I-35, ultimo paragrafo, conferma il potere generale di raccomandazione della Commissione quale attualmente previsto all'articolo 211 del trattato CE e generalizza quello del Consiglio (articolo I-35)</w:t>
            </w:r>
          </w:p>
        </w:tc>
      </w:tr>
    </w:tbl>
    <w:p w:rsidR="00BF4B31" w:rsidRPr="00BF4B31" w:rsidRDefault="00BF4B31" w:rsidP="00BF4B31">
      <w:pPr>
        <w:pStyle w:val="NormaleWeb"/>
        <w:rPr>
          <w:rStyle w:val="Enfasigrassetto"/>
          <w:rFonts w:ascii="Arial" w:hAnsi="Arial" w:cs="Arial"/>
          <w:color w:val="000066"/>
        </w:rPr>
      </w:pPr>
    </w:p>
    <w:p w:rsidR="00166E60" w:rsidRPr="00BF4B31" w:rsidRDefault="00166E60"/>
    <w:sectPr w:rsidR="00166E60" w:rsidRPr="00BF4B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31"/>
    <w:rsid w:val="00166E60"/>
    <w:rsid w:val="00BF4B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FBE2B-6C4C-4405-A178-CDBF39EC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F4B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F4B31"/>
    <w:rPr>
      <w:b/>
      <w:bCs/>
    </w:rPr>
  </w:style>
  <w:style w:type="character" w:customStyle="1" w:styleId="apple-converted-space">
    <w:name w:val="apple-converted-space"/>
    <w:basedOn w:val="Carpredefinitoparagrafo"/>
    <w:rsid w:val="00BF4B31"/>
  </w:style>
  <w:style w:type="table" w:styleId="Grigliatabella">
    <w:name w:val="Table Grid"/>
    <w:basedOn w:val="Tabellanormale"/>
    <w:uiPriority w:val="39"/>
    <w:rsid w:val="00BF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06100">
      <w:bodyDiv w:val="1"/>
      <w:marLeft w:val="0"/>
      <w:marRight w:val="0"/>
      <w:marTop w:val="0"/>
      <w:marBottom w:val="0"/>
      <w:divBdr>
        <w:top w:val="none" w:sz="0" w:space="0" w:color="auto"/>
        <w:left w:val="none" w:sz="0" w:space="0" w:color="auto"/>
        <w:bottom w:val="none" w:sz="0" w:space="0" w:color="auto"/>
        <w:right w:val="none" w:sz="0" w:space="0" w:color="auto"/>
      </w:divBdr>
    </w:div>
    <w:div w:id="1590117144">
      <w:bodyDiv w:val="1"/>
      <w:marLeft w:val="0"/>
      <w:marRight w:val="0"/>
      <w:marTop w:val="0"/>
      <w:marBottom w:val="0"/>
      <w:divBdr>
        <w:top w:val="none" w:sz="0" w:space="0" w:color="auto"/>
        <w:left w:val="none" w:sz="0" w:space="0" w:color="auto"/>
        <w:bottom w:val="none" w:sz="0" w:space="0" w:color="auto"/>
        <w:right w:val="none" w:sz="0" w:space="0" w:color="auto"/>
      </w:divBdr>
    </w:div>
    <w:div w:id="181961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743</Words>
  <Characters>4237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cp:revision>
  <dcterms:created xsi:type="dcterms:W3CDTF">2015-12-02T15:12:00Z</dcterms:created>
  <dcterms:modified xsi:type="dcterms:W3CDTF">2015-12-02T15:22:00Z</dcterms:modified>
</cp:coreProperties>
</file>