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30CC" w:rsidRDefault="005430CC" w:rsidP="005430CC">
      <w:pPr>
        <w:widowControl w:val="0"/>
        <w:autoSpaceDE w:val="0"/>
        <w:autoSpaceDN w:val="0"/>
        <w:adjustRightInd w:val="0"/>
        <w:spacing w:line="240" w:lineRule="auto"/>
        <w:jc w:val="left"/>
        <w:rPr>
          <w:rFonts w:ascii="Times" w:eastAsiaTheme="minorEastAsia" w:hAnsi="Times" w:cs="Times"/>
          <w:color w:val="101010"/>
          <w:sz w:val="36"/>
          <w:szCs w:val="36"/>
          <w:lang w:eastAsia="ja-JP"/>
        </w:rPr>
      </w:pPr>
      <w:r>
        <w:rPr>
          <w:rFonts w:ascii="Times" w:eastAsiaTheme="minorEastAsia" w:hAnsi="Times"/>
          <w:lang w:eastAsia="ja-JP"/>
        </w:rPr>
        <w:fldChar w:fldCharType="begin"/>
      </w:r>
      <w:r>
        <w:rPr>
          <w:rFonts w:ascii="Times" w:eastAsiaTheme="minorEastAsia" w:hAnsi="Times"/>
          <w:lang w:eastAsia="ja-JP"/>
        </w:rPr>
        <w:instrText>HYPERLINK "http://www.rfi.fr/emission/revue-presse-francaise/"</w:instrText>
      </w:r>
      <w:r>
        <w:rPr>
          <w:rFonts w:ascii="Times" w:eastAsiaTheme="minorEastAsia" w:hAnsi="Times"/>
          <w:lang w:eastAsia="ja-JP"/>
        </w:rPr>
      </w:r>
      <w:r>
        <w:rPr>
          <w:rFonts w:ascii="Times" w:eastAsiaTheme="minorEastAsia" w:hAnsi="Times"/>
          <w:lang w:eastAsia="ja-JP"/>
        </w:rPr>
        <w:fldChar w:fldCharType="separate"/>
      </w:r>
      <w:r>
        <w:rPr>
          <w:rFonts w:ascii="Times" w:eastAsiaTheme="minorEastAsia" w:hAnsi="Times" w:cs="Times"/>
          <w:color w:val="DA0012"/>
          <w:sz w:val="64"/>
          <w:szCs w:val="64"/>
          <w:lang w:eastAsia="ja-JP"/>
        </w:rPr>
        <w:t>REVUE DE PRESSE FRANÇAISE</w:t>
      </w:r>
      <w:r>
        <w:rPr>
          <w:rFonts w:ascii="Times" w:eastAsiaTheme="minorEastAsia" w:hAnsi="Times"/>
          <w:lang w:eastAsia="ja-JP"/>
        </w:rPr>
        <w:fldChar w:fldCharType="end"/>
      </w:r>
    </w:p>
    <w:p w:rsidR="005430CC" w:rsidRDefault="005430CC" w:rsidP="005430CC">
      <w:pPr>
        <w:widowControl w:val="0"/>
        <w:autoSpaceDE w:val="0"/>
        <w:autoSpaceDN w:val="0"/>
        <w:adjustRightInd w:val="0"/>
        <w:spacing w:line="240" w:lineRule="auto"/>
        <w:jc w:val="left"/>
        <w:rPr>
          <w:rFonts w:ascii="Times" w:eastAsiaTheme="minorEastAsia" w:hAnsi="Times" w:cs="Times"/>
          <w:color w:val="2C2B2B"/>
          <w:sz w:val="56"/>
          <w:szCs w:val="56"/>
          <w:lang w:eastAsia="ja-JP"/>
        </w:rPr>
      </w:pPr>
      <w:r>
        <w:rPr>
          <w:rFonts w:ascii="Times" w:eastAsiaTheme="minorEastAsia" w:hAnsi="Times" w:cs="Times"/>
          <w:color w:val="2C2B2B"/>
          <w:sz w:val="56"/>
          <w:szCs w:val="56"/>
          <w:lang w:eastAsia="ja-JP"/>
        </w:rPr>
        <w:t>A la Une: le devoir de mémoire</w:t>
      </w:r>
    </w:p>
    <w:p w:rsidR="005430CC" w:rsidRDefault="005430CC" w:rsidP="005430CC">
      <w:pPr>
        <w:widowControl w:val="0"/>
        <w:autoSpaceDE w:val="0"/>
        <w:autoSpaceDN w:val="0"/>
        <w:adjustRightInd w:val="0"/>
        <w:spacing w:line="240" w:lineRule="auto"/>
        <w:jc w:val="left"/>
        <w:rPr>
          <w:rFonts w:ascii="Times" w:eastAsiaTheme="minorEastAsia" w:hAnsi="Times" w:cs="Times"/>
          <w:sz w:val="26"/>
          <w:szCs w:val="26"/>
          <w:lang w:eastAsia="ja-JP"/>
        </w:rPr>
      </w:pPr>
      <w:r>
        <w:rPr>
          <w:rFonts w:ascii="Times" w:eastAsiaTheme="minorEastAsia" w:hAnsi="Times" w:cs="Times"/>
          <w:color w:val="101010"/>
          <w:sz w:val="26"/>
          <w:szCs w:val="26"/>
          <w:lang w:eastAsia="ja-JP"/>
        </w:rPr>
        <w:t xml:space="preserve">Par </w:t>
      </w:r>
      <w:hyperlink r:id="rId5" w:history="1">
        <w:r>
          <w:rPr>
            <w:rFonts w:ascii="Times" w:eastAsiaTheme="minorEastAsia" w:hAnsi="Times" w:cs="Times"/>
            <w:color w:val="DC420D"/>
            <w:sz w:val="26"/>
            <w:szCs w:val="26"/>
            <w:lang w:eastAsia="ja-JP"/>
          </w:rPr>
          <w:t>Frédéric Couteau</w:t>
        </w:r>
      </w:hyperlink>
    </w:p>
    <w:p w:rsidR="005430CC" w:rsidRDefault="005430CC" w:rsidP="005430CC">
      <w:pPr>
        <w:widowControl w:val="0"/>
        <w:autoSpaceDE w:val="0"/>
        <w:autoSpaceDN w:val="0"/>
        <w:adjustRightInd w:val="0"/>
        <w:spacing w:line="240" w:lineRule="auto"/>
        <w:rPr>
          <w:rFonts w:ascii="Arial" w:eastAsiaTheme="minorEastAsia" w:hAnsi="Arial" w:cs="Arial"/>
          <w:color w:val="9A9A9A"/>
          <w:sz w:val="22"/>
          <w:szCs w:val="22"/>
          <w:lang w:eastAsia="ja-JP"/>
        </w:rPr>
      </w:pPr>
      <w:r>
        <w:rPr>
          <w:rFonts w:ascii="Arial" w:eastAsiaTheme="minorEastAsia" w:hAnsi="Arial" w:cs="Arial"/>
          <w:color w:val="9A9A9A"/>
          <w:sz w:val="22"/>
          <w:szCs w:val="22"/>
          <w:lang w:eastAsia="ja-JP"/>
        </w:rPr>
        <w:t>Diffusion : mardi 11 novembre 2014</w:t>
      </w:r>
    </w:p>
    <w:p w:rsidR="005430CC" w:rsidRDefault="005430CC" w:rsidP="005430CC">
      <w:pPr>
        <w:widowControl w:val="0"/>
        <w:autoSpaceDE w:val="0"/>
        <w:autoSpaceDN w:val="0"/>
        <w:adjustRightInd w:val="0"/>
        <w:spacing w:line="240" w:lineRule="auto"/>
        <w:rPr>
          <w:rFonts w:eastAsiaTheme="minorEastAsia"/>
          <w:color w:val="2C2B2B"/>
          <w:sz w:val="30"/>
          <w:szCs w:val="30"/>
          <w:lang w:eastAsia="ja-JP"/>
        </w:rPr>
      </w:pPr>
    </w:p>
    <w:p w:rsidR="005430CC" w:rsidRPr="005430CC" w:rsidRDefault="005430CC" w:rsidP="005430CC">
      <w:pPr>
        <w:widowControl w:val="0"/>
        <w:autoSpaceDE w:val="0"/>
        <w:autoSpaceDN w:val="0"/>
        <w:adjustRightInd w:val="0"/>
        <w:spacing w:line="240" w:lineRule="auto"/>
        <w:rPr>
          <w:rFonts w:eastAsiaTheme="minorEastAsia"/>
          <w:color w:val="2C2B2B"/>
          <w:sz w:val="30"/>
          <w:szCs w:val="30"/>
          <w:lang w:eastAsia="ja-JP"/>
        </w:rPr>
      </w:pPr>
      <w:r w:rsidRPr="005430CC">
        <w:rPr>
          <w:rFonts w:eastAsiaTheme="minorEastAsia"/>
          <w:color w:val="2C2B2B"/>
          <w:sz w:val="30"/>
          <w:szCs w:val="30"/>
          <w:lang w:eastAsia="ja-JP"/>
        </w:rPr>
        <w:t xml:space="preserve">En ce 11 novembre 2014, où nous commémorons l’armistice de 1918 qui mit fin à la Première Guerre mondiale, François Hollande va inaugurer l’Anneau de la mémoire. </w:t>
      </w:r>
      <w:r w:rsidRPr="005430CC">
        <w:rPr>
          <w:rFonts w:eastAsiaTheme="minorEastAsia"/>
          <w:i/>
          <w:iCs/>
          <w:color w:val="2C2B2B"/>
          <w:sz w:val="30"/>
          <w:szCs w:val="30"/>
          <w:lang w:eastAsia="ja-JP"/>
        </w:rPr>
        <w:t xml:space="preserve">« Un immense monument en forme de cercle fait de plaques d’acier, </w:t>
      </w:r>
      <w:r w:rsidRPr="005430CC">
        <w:rPr>
          <w:rFonts w:eastAsiaTheme="minorEastAsia"/>
          <w:color w:val="2C2B2B"/>
          <w:sz w:val="30"/>
          <w:szCs w:val="30"/>
          <w:lang w:eastAsia="ja-JP"/>
        </w:rPr>
        <w:t>décrit</w:t>
      </w:r>
      <w:r w:rsidRPr="005430CC">
        <w:rPr>
          <w:rFonts w:eastAsiaTheme="minorEastAsia"/>
          <w:i/>
          <w:iCs/>
          <w:color w:val="2C2B2B"/>
          <w:sz w:val="30"/>
          <w:szCs w:val="30"/>
          <w:lang w:eastAsia="ja-JP"/>
        </w:rPr>
        <w:t xml:space="preserve"> Libération, construit en haut d’une colline, dans le Pas-de-Calais, entre Arras, Liévin et Béthune, un territoire qui fût le théâtre de batailles farouches pendant la Grande Guerre où des soldats sont tombés par centaines de milliers. L’Anneau de la mémoire réunit dans une fraternité posthume 579 606 soldats venus du monde entier morts sur les champs de bataille. Leurs noms sont inscrits dans l’ordre alphabétique, sans distinction de nationalité, de grade, d’origine ou de religion sur 500 plaques d’environ 3 mètres de haut, d’un métal doré reflétant la lumière. »</w:t>
      </w:r>
    </w:p>
    <w:p w:rsidR="005430CC" w:rsidRPr="005430CC" w:rsidRDefault="005430CC" w:rsidP="005430CC">
      <w:pPr>
        <w:widowControl w:val="0"/>
        <w:autoSpaceDE w:val="0"/>
        <w:autoSpaceDN w:val="0"/>
        <w:adjustRightInd w:val="0"/>
        <w:spacing w:line="240" w:lineRule="auto"/>
        <w:rPr>
          <w:rFonts w:eastAsiaTheme="minorEastAsia"/>
          <w:color w:val="2C2B2B"/>
          <w:sz w:val="30"/>
          <w:szCs w:val="30"/>
          <w:lang w:eastAsia="ja-JP"/>
        </w:rPr>
      </w:pPr>
      <w:r w:rsidRPr="005430CC">
        <w:rPr>
          <w:rFonts w:eastAsiaTheme="minorEastAsia"/>
          <w:i/>
          <w:iCs/>
          <w:color w:val="2C2B2B"/>
          <w:sz w:val="30"/>
          <w:szCs w:val="30"/>
          <w:lang w:eastAsia="ja-JP"/>
        </w:rPr>
        <w:t>« Pourquoi ce 11 Novembre ? » :</w:t>
      </w:r>
      <w:r w:rsidRPr="005430CC">
        <w:rPr>
          <w:rFonts w:eastAsiaTheme="minorEastAsia"/>
          <w:color w:val="2C2B2B"/>
          <w:sz w:val="30"/>
          <w:szCs w:val="30"/>
          <w:lang w:eastAsia="ja-JP"/>
        </w:rPr>
        <w:t xml:space="preserve"> c’est la question posée dans </w:t>
      </w:r>
      <w:r w:rsidRPr="005430CC">
        <w:rPr>
          <w:rFonts w:eastAsiaTheme="minorEastAsia"/>
          <w:i/>
          <w:iCs/>
          <w:color w:val="2C2B2B"/>
          <w:sz w:val="30"/>
          <w:szCs w:val="30"/>
          <w:lang w:eastAsia="ja-JP"/>
        </w:rPr>
        <w:t>Le Figaro</w:t>
      </w:r>
      <w:r w:rsidRPr="005430CC">
        <w:rPr>
          <w:rFonts w:eastAsiaTheme="minorEastAsia"/>
          <w:color w:val="2C2B2B"/>
          <w:sz w:val="30"/>
          <w:szCs w:val="30"/>
          <w:lang w:eastAsia="ja-JP"/>
        </w:rPr>
        <w:t xml:space="preserve"> ce matin par le président de la Mission du centenaire de la Première Guerre mondiale, le général </w:t>
      </w:r>
      <w:proofErr w:type="spellStart"/>
      <w:r w:rsidRPr="005430CC">
        <w:rPr>
          <w:rFonts w:eastAsiaTheme="minorEastAsia"/>
          <w:color w:val="2C2B2B"/>
          <w:sz w:val="30"/>
          <w:szCs w:val="30"/>
          <w:lang w:eastAsia="ja-JP"/>
        </w:rPr>
        <w:t>Elrik</w:t>
      </w:r>
      <w:proofErr w:type="spellEnd"/>
      <w:r w:rsidRPr="005430CC">
        <w:rPr>
          <w:rFonts w:eastAsiaTheme="minorEastAsia"/>
          <w:color w:val="2C2B2B"/>
          <w:sz w:val="30"/>
          <w:szCs w:val="30"/>
          <w:lang w:eastAsia="ja-JP"/>
        </w:rPr>
        <w:t xml:space="preserve"> </w:t>
      </w:r>
      <w:proofErr w:type="spellStart"/>
      <w:r w:rsidRPr="005430CC">
        <w:rPr>
          <w:rFonts w:eastAsiaTheme="minorEastAsia"/>
          <w:color w:val="2C2B2B"/>
          <w:sz w:val="30"/>
          <w:szCs w:val="30"/>
          <w:lang w:eastAsia="ja-JP"/>
        </w:rPr>
        <w:t>Irastorza</w:t>
      </w:r>
      <w:proofErr w:type="spellEnd"/>
      <w:r w:rsidRPr="005430CC">
        <w:rPr>
          <w:rFonts w:eastAsiaTheme="minorEastAsia"/>
          <w:color w:val="2C2B2B"/>
          <w:sz w:val="30"/>
          <w:szCs w:val="30"/>
          <w:lang w:eastAsia="ja-JP"/>
        </w:rPr>
        <w:t xml:space="preserve">. </w:t>
      </w:r>
      <w:r w:rsidRPr="005430CC">
        <w:rPr>
          <w:rFonts w:eastAsiaTheme="minorEastAsia"/>
          <w:i/>
          <w:iCs/>
          <w:color w:val="2C2B2B"/>
          <w:sz w:val="30"/>
          <w:szCs w:val="30"/>
          <w:lang w:eastAsia="ja-JP"/>
        </w:rPr>
        <w:t xml:space="preserve">« Dans quelques heures, </w:t>
      </w:r>
      <w:r w:rsidRPr="005430CC">
        <w:rPr>
          <w:rFonts w:eastAsiaTheme="minorEastAsia"/>
          <w:color w:val="2C2B2B"/>
          <w:sz w:val="30"/>
          <w:szCs w:val="30"/>
          <w:lang w:eastAsia="ja-JP"/>
        </w:rPr>
        <w:t>écrit-il,</w:t>
      </w:r>
      <w:r w:rsidRPr="005430CC">
        <w:rPr>
          <w:rFonts w:eastAsiaTheme="minorEastAsia"/>
          <w:i/>
          <w:iCs/>
          <w:color w:val="2C2B2B"/>
          <w:sz w:val="30"/>
          <w:szCs w:val="30"/>
          <w:lang w:eastAsia="ja-JP"/>
        </w:rPr>
        <w:t xml:space="preserve"> après s’être incliné devant la dalle sacrée du Soldat inconnu, le président de la République inaugurera le Mémorial international de Notre-Dame-de-Lorette. Mais pourquoi donc commémorer encore la plus grande hécatombe de notre histoire nationale et construire un tel monument ? N’avons-nous pas plus urgent à faire alors qu’il n’y a plus un seul combattant survivant ? Il faut se rendre à l’évidence, répond le président de la Mission du centenaire de la Première Guerre mondiale : quoi que l’on fasse, les peuples se souviennent des épreuves terribles et des grandes ruptures de leur histoire, ne serait-ce que pour se construire en toute sécurité un avenir de liberté. Ni les Français ni la Grande Guerre n’échappent à cette règle. »</w:t>
      </w:r>
    </w:p>
    <w:p w:rsidR="005430CC" w:rsidRPr="005430CC" w:rsidRDefault="005430CC" w:rsidP="005430CC">
      <w:pPr>
        <w:widowControl w:val="0"/>
        <w:autoSpaceDE w:val="0"/>
        <w:autoSpaceDN w:val="0"/>
        <w:adjustRightInd w:val="0"/>
        <w:spacing w:line="240" w:lineRule="auto"/>
        <w:rPr>
          <w:rFonts w:eastAsiaTheme="minorEastAsia"/>
          <w:color w:val="2C2B2B"/>
          <w:sz w:val="30"/>
          <w:szCs w:val="30"/>
          <w:lang w:eastAsia="ja-JP"/>
        </w:rPr>
      </w:pPr>
      <w:r w:rsidRPr="005430CC">
        <w:rPr>
          <w:rFonts w:eastAsiaTheme="minorEastAsia"/>
          <w:color w:val="2C2B2B"/>
          <w:sz w:val="30"/>
          <w:szCs w:val="30"/>
          <w:lang w:eastAsia="ja-JP"/>
        </w:rPr>
        <w:t> </w:t>
      </w:r>
    </w:p>
    <w:p w:rsidR="005430CC" w:rsidRDefault="005430CC" w:rsidP="005430CC">
      <w:pPr>
        <w:widowControl w:val="0"/>
        <w:autoSpaceDE w:val="0"/>
        <w:autoSpaceDN w:val="0"/>
        <w:adjustRightInd w:val="0"/>
        <w:spacing w:line="240" w:lineRule="auto"/>
        <w:rPr>
          <w:rFonts w:eastAsiaTheme="minorEastAsia"/>
          <w:i/>
          <w:iCs/>
          <w:color w:val="2C2B2B"/>
          <w:sz w:val="30"/>
          <w:szCs w:val="30"/>
          <w:lang w:eastAsia="ja-JP"/>
        </w:rPr>
      </w:pPr>
      <w:r w:rsidRPr="005430CC">
        <w:rPr>
          <w:rFonts w:eastAsiaTheme="minorEastAsia"/>
          <w:i/>
          <w:iCs/>
          <w:color w:val="2C2B2B"/>
          <w:sz w:val="30"/>
          <w:szCs w:val="30"/>
          <w:lang w:eastAsia="ja-JP"/>
        </w:rPr>
        <w:t>Ouest France</w:t>
      </w:r>
      <w:r w:rsidRPr="005430CC">
        <w:rPr>
          <w:rFonts w:eastAsiaTheme="minorEastAsia"/>
          <w:color w:val="2C2B2B"/>
          <w:sz w:val="30"/>
          <w:szCs w:val="30"/>
          <w:lang w:eastAsia="ja-JP"/>
        </w:rPr>
        <w:t xml:space="preserve"> évoque également ce devoir de mémoire afin de mieux préparer l’avenir… </w:t>
      </w:r>
      <w:r w:rsidRPr="005430CC">
        <w:rPr>
          <w:rFonts w:eastAsiaTheme="minorEastAsia"/>
          <w:i/>
          <w:iCs/>
          <w:color w:val="2C2B2B"/>
          <w:sz w:val="30"/>
          <w:szCs w:val="30"/>
          <w:lang w:eastAsia="ja-JP"/>
        </w:rPr>
        <w:t xml:space="preserve">« Aujourd’hui, ces commémorations devraient être autant d’appels au refus du repli sur soi, autant d’avancées vers la coopération. Hors de la fraternité, pas de salut. Elle est le seul ciment </w:t>
      </w:r>
      <w:r w:rsidRPr="005430CC">
        <w:rPr>
          <w:rFonts w:eastAsiaTheme="minorEastAsia"/>
          <w:i/>
          <w:iCs/>
          <w:color w:val="2C2B2B"/>
          <w:sz w:val="30"/>
          <w:szCs w:val="30"/>
          <w:lang w:eastAsia="ja-JP"/>
        </w:rPr>
        <w:lastRenderedPageBreak/>
        <w:t>qui peut faire tenir la cité des hommes sur cette petite planète que nous découvrons aujourd’hui si fragile. C’est à sa sauvegarde qu’il faut consacrer nos efforts. Sinon, nous et les générations suivantes vivrons des drames bien pires encore que ceux que nous évoquons aujourd’hui. »</w:t>
      </w:r>
    </w:p>
    <w:p w:rsidR="0046039B" w:rsidRPr="005430CC" w:rsidRDefault="0046039B" w:rsidP="005430CC">
      <w:pPr>
        <w:widowControl w:val="0"/>
        <w:autoSpaceDE w:val="0"/>
        <w:autoSpaceDN w:val="0"/>
        <w:adjustRightInd w:val="0"/>
        <w:spacing w:line="240" w:lineRule="auto"/>
        <w:rPr>
          <w:rFonts w:eastAsiaTheme="minorEastAsia"/>
          <w:color w:val="2C2B2B"/>
          <w:sz w:val="30"/>
          <w:szCs w:val="30"/>
          <w:lang w:eastAsia="ja-JP"/>
        </w:rPr>
      </w:pPr>
    </w:p>
    <w:p w:rsidR="005430CC" w:rsidRDefault="005430CC" w:rsidP="005430CC">
      <w:pPr>
        <w:widowControl w:val="0"/>
        <w:autoSpaceDE w:val="0"/>
        <w:autoSpaceDN w:val="0"/>
        <w:adjustRightInd w:val="0"/>
        <w:spacing w:line="240" w:lineRule="auto"/>
        <w:rPr>
          <w:rFonts w:eastAsiaTheme="minorEastAsia"/>
          <w:color w:val="2C2B2B"/>
          <w:sz w:val="30"/>
          <w:szCs w:val="30"/>
          <w:lang w:eastAsia="ja-JP"/>
        </w:rPr>
      </w:pPr>
      <w:r w:rsidRPr="005430CC">
        <w:rPr>
          <w:rFonts w:eastAsiaTheme="minorEastAsia"/>
          <w:color w:val="2C2B2B"/>
          <w:sz w:val="30"/>
          <w:szCs w:val="30"/>
          <w:lang w:eastAsia="ja-JP"/>
        </w:rPr>
        <w:t> </w:t>
      </w:r>
      <w:r w:rsidR="0046039B">
        <w:rPr>
          <w:rFonts w:eastAsiaTheme="minorEastAsia"/>
          <w:color w:val="2C2B2B"/>
          <w:sz w:val="30"/>
          <w:szCs w:val="30"/>
          <w:lang w:eastAsia="ja-JP"/>
        </w:rPr>
        <w:t>(…)</w:t>
      </w:r>
    </w:p>
    <w:p w:rsidR="0046039B" w:rsidRPr="005430CC" w:rsidRDefault="0046039B" w:rsidP="005430CC">
      <w:pPr>
        <w:widowControl w:val="0"/>
        <w:autoSpaceDE w:val="0"/>
        <w:autoSpaceDN w:val="0"/>
        <w:adjustRightInd w:val="0"/>
        <w:spacing w:line="240" w:lineRule="auto"/>
        <w:rPr>
          <w:rFonts w:eastAsiaTheme="minorEastAsia"/>
          <w:color w:val="2C2B2B"/>
          <w:sz w:val="30"/>
          <w:szCs w:val="30"/>
          <w:lang w:eastAsia="ja-JP"/>
        </w:rPr>
      </w:pPr>
      <w:bookmarkStart w:id="0" w:name="_GoBack"/>
      <w:bookmarkEnd w:id="0"/>
    </w:p>
    <w:p w:rsidR="005430CC" w:rsidRPr="005430CC" w:rsidRDefault="005430CC" w:rsidP="005430CC">
      <w:pPr>
        <w:widowControl w:val="0"/>
        <w:autoSpaceDE w:val="0"/>
        <w:autoSpaceDN w:val="0"/>
        <w:adjustRightInd w:val="0"/>
        <w:spacing w:line="240" w:lineRule="auto"/>
        <w:rPr>
          <w:rFonts w:eastAsiaTheme="minorEastAsia"/>
          <w:color w:val="2C2B2B"/>
          <w:sz w:val="30"/>
          <w:szCs w:val="30"/>
          <w:lang w:eastAsia="ja-JP"/>
        </w:rPr>
      </w:pPr>
      <w:r w:rsidRPr="005430CC">
        <w:rPr>
          <w:rFonts w:eastAsiaTheme="minorEastAsia"/>
          <w:color w:val="2C2B2B"/>
          <w:sz w:val="30"/>
          <w:szCs w:val="30"/>
          <w:lang w:eastAsia="ja-JP"/>
        </w:rPr>
        <w:t>Une nouvelle façon de consommer</w:t>
      </w:r>
    </w:p>
    <w:p w:rsidR="005430CC" w:rsidRPr="005430CC" w:rsidRDefault="005430CC" w:rsidP="005430CC">
      <w:pPr>
        <w:widowControl w:val="0"/>
        <w:autoSpaceDE w:val="0"/>
        <w:autoSpaceDN w:val="0"/>
        <w:adjustRightInd w:val="0"/>
        <w:spacing w:line="240" w:lineRule="auto"/>
        <w:rPr>
          <w:rFonts w:eastAsiaTheme="minorEastAsia"/>
          <w:color w:val="2C2B2B"/>
          <w:sz w:val="30"/>
          <w:szCs w:val="30"/>
          <w:lang w:eastAsia="ja-JP"/>
        </w:rPr>
      </w:pPr>
      <w:r w:rsidRPr="005430CC">
        <w:rPr>
          <w:rFonts w:eastAsiaTheme="minorEastAsia"/>
          <w:color w:val="2C2B2B"/>
          <w:sz w:val="30"/>
          <w:szCs w:val="30"/>
          <w:lang w:eastAsia="ja-JP"/>
        </w:rPr>
        <w:t> </w:t>
      </w:r>
    </w:p>
    <w:p w:rsidR="005430CC" w:rsidRPr="005430CC" w:rsidRDefault="005430CC" w:rsidP="0046039B">
      <w:pPr>
        <w:widowControl w:val="0"/>
        <w:autoSpaceDE w:val="0"/>
        <w:autoSpaceDN w:val="0"/>
        <w:adjustRightInd w:val="0"/>
        <w:spacing w:line="240" w:lineRule="auto"/>
        <w:rPr>
          <w:rFonts w:eastAsiaTheme="minorEastAsia"/>
          <w:color w:val="2C2B2B"/>
          <w:sz w:val="30"/>
          <w:szCs w:val="30"/>
          <w:lang w:eastAsia="ja-JP"/>
        </w:rPr>
      </w:pPr>
      <w:r w:rsidRPr="005430CC">
        <w:rPr>
          <w:rFonts w:eastAsiaTheme="minorEastAsia"/>
          <w:color w:val="2C2B2B"/>
          <w:sz w:val="30"/>
          <w:szCs w:val="30"/>
          <w:lang w:eastAsia="ja-JP"/>
        </w:rPr>
        <w:t xml:space="preserve">Enfin, </w:t>
      </w:r>
      <w:r w:rsidRPr="005430CC">
        <w:rPr>
          <w:rFonts w:eastAsiaTheme="minorEastAsia"/>
          <w:i/>
          <w:iCs/>
          <w:color w:val="2C2B2B"/>
          <w:sz w:val="30"/>
          <w:szCs w:val="30"/>
          <w:lang w:eastAsia="ja-JP"/>
        </w:rPr>
        <w:t>« partagez pour économiser ! » :</w:t>
      </w:r>
      <w:r w:rsidRPr="005430CC">
        <w:rPr>
          <w:rFonts w:eastAsiaTheme="minorEastAsia"/>
          <w:color w:val="2C2B2B"/>
          <w:sz w:val="30"/>
          <w:szCs w:val="30"/>
          <w:lang w:eastAsia="ja-JP"/>
        </w:rPr>
        <w:t xml:space="preserve"> c’est la Une du </w:t>
      </w:r>
      <w:r w:rsidRPr="005430CC">
        <w:rPr>
          <w:rFonts w:eastAsiaTheme="minorEastAsia"/>
          <w:i/>
          <w:iCs/>
          <w:color w:val="2C2B2B"/>
          <w:sz w:val="30"/>
          <w:szCs w:val="30"/>
          <w:lang w:eastAsia="ja-JP"/>
        </w:rPr>
        <w:t xml:space="preserve">Parisien…« Je vends, tu loues, on troque, vous partagez ! Les Français sont de plus en plus nombreux à s’improviser marchand d’un jour ou voisin au grand cœur, </w:t>
      </w:r>
      <w:r w:rsidRPr="005430CC">
        <w:rPr>
          <w:rFonts w:eastAsiaTheme="minorEastAsia"/>
          <w:color w:val="2C2B2B"/>
          <w:sz w:val="30"/>
          <w:szCs w:val="30"/>
          <w:lang w:eastAsia="ja-JP"/>
        </w:rPr>
        <w:t>constate en effet</w:t>
      </w:r>
      <w:r w:rsidRPr="005430CC">
        <w:rPr>
          <w:rFonts w:eastAsiaTheme="minorEastAsia"/>
          <w:i/>
          <w:iCs/>
          <w:color w:val="2C2B2B"/>
          <w:sz w:val="30"/>
          <w:szCs w:val="30"/>
          <w:lang w:eastAsia="ja-JP"/>
        </w:rPr>
        <w:t xml:space="preserve"> Le Parisien. Même pendant leurs congés, ils sont 39 % à partager leur appartement, leur voiture ou leur tronçonneuse selon une enquête d’</w:t>
      </w:r>
      <w:proofErr w:type="spellStart"/>
      <w:r w:rsidRPr="005430CC">
        <w:rPr>
          <w:rFonts w:eastAsiaTheme="minorEastAsia"/>
          <w:i/>
          <w:iCs/>
          <w:color w:val="2C2B2B"/>
          <w:sz w:val="30"/>
          <w:szCs w:val="30"/>
          <w:lang w:eastAsia="ja-JP"/>
        </w:rPr>
        <w:t>Easyvoyage</w:t>
      </w:r>
      <w:proofErr w:type="spellEnd"/>
      <w:r w:rsidRPr="005430CC">
        <w:rPr>
          <w:rFonts w:eastAsiaTheme="minorEastAsia"/>
          <w:i/>
          <w:iCs/>
          <w:color w:val="2C2B2B"/>
          <w:sz w:val="30"/>
          <w:szCs w:val="30"/>
          <w:lang w:eastAsia="ja-JP"/>
        </w:rPr>
        <w:t xml:space="preserve"> publiée récemment. Pompeusement appelée </w:t>
      </w:r>
      <w:r w:rsidRPr="005430CC">
        <w:rPr>
          <w:rFonts w:eastAsiaTheme="minorEastAsia"/>
          <w:color w:val="2C2B2B"/>
          <w:sz w:val="30"/>
          <w:szCs w:val="30"/>
          <w:lang w:eastAsia="ja-JP"/>
        </w:rPr>
        <w:t>“économie collaborative”,</w:t>
      </w:r>
      <w:r w:rsidRPr="005430CC">
        <w:rPr>
          <w:rFonts w:eastAsiaTheme="minorEastAsia"/>
          <w:i/>
          <w:iCs/>
          <w:color w:val="2C2B2B"/>
          <w:sz w:val="30"/>
          <w:szCs w:val="30"/>
          <w:lang w:eastAsia="ja-JP"/>
        </w:rPr>
        <w:t xml:space="preserve"> cette nouvelle façon de consommer bouleverse de façon bien concrète notre quotidien. Un sondé sur deux estime même que c’est l’avenir du commerce, </w:t>
      </w:r>
      <w:r w:rsidRPr="005430CC">
        <w:rPr>
          <w:rFonts w:eastAsiaTheme="minorEastAsia"/>
          <w:color w:val="2C2B2B"/>
          <w:sz w:val="30"/>
          <w:szCs w:val="30"/>
          <w:lang w:eastAsia="ja-JP"/>
        </w:rPr>
        <w:t>selon une étude</w:t>
      </w:r>
      <w:r w:rsidRPr="005430CC">
        <w:rPr>
          <w:rFonts w:eastAsiaTheme="minorEastAsia"/>
          <w:i/>
          <w:iCs/>
          <w:color w:val="2C2B2B"/>
          <w:sz w:val="30"/>
          <w:szCs w:val="30"/>
          <w:lang w:eastAsia="ja-JP"/>
        </w:rPr>
        <w:t xml:space="preserve"> IFOP. »</w:t>
      </w:r>
    </w:p>
    <w:p w:rsidR="005430CC" w:rsidRPr="005430CC" w:rsidRDefault="005430CC" w:rsidP="0046039B">
      <w:pPr>
        <w:widowControl w:val="0"/>
        <w:autoSpaceDE w:val="0"/>
        <w:autoSpaceDN w:val="0"/>
        <w:adjustRightInd w:val="0"/>
        <w:spacing w:line="240" w:lineRule="auto"/>
        <w:rPr>
          <w:rFonts w:eastAsiaTheme="minorEastAsia"/>
          <w:color w:val="2C2B2B"/>
          <w:sz w:val="30"/>
          <w:szCs w:val="30"/>
          <w:lang w:eastAsia="ja-JP"/>
        </w:rPr>
      </w:pPr>
      <w:r w:rsidRPr="005430CC">
        <w:rPr>
          <w:rFonts w:eastAsiaTheme="minorEastAsia"/>
          <w:color w:val="2C2B2B"/>
          <w:sz w:val="30"/>
          <w:szCs w:val="30"/>
          <w:lang w:eastAsia="ja-JP"/>
        </w:rPr>
        <w:t> </w:t>
      </w:r>
    </w:p>
    <w:p w:rsidR="00EF5EB9" w:rsidRPr="005430CC" w:rsidRDefault="005430CC" w:rsidP="0046039B">
      <w:pPr>
        <w:spacing w:line="240" w:lineRule="auto"/>
      </w:pPr>
      <w:r w:rsidRPr="005430CC">
        <w:rPr>
          <w:rFonts w:eastAsiaTheme="minorEastAsia"/>
          <w:i/>
          <w:iCs/>
          <w:color w:val="2C2B2B"/>
          <w:sz w:val="30"/>
          <w:szCs w:val="30"/>
          <w:lang w:eastAsia="ja-JP"/>
        </w:rPr>
        <w:t xml:space="preserve">« Après le système D, l’heure est au système P, </w:t>
      </w:r>
      <w:r w:rsidRPr="005430CC">
        <w:rPr>
          <w:rFonts w:eastAsiaTheme="minorEastAsia"/>
          <w:color w:val="2C2B2B"/>
          <w:sz w:val="30"/>
          <w:szCs w:val="30"/>
          <w:lang w:eastAsia="ja-JP"/>
        </w:rPr>
        <w:t>commente</w:t>
      </w:r>
      <w:r w:rsidRPr="005430CC">
        <w:rPr>
          <w:rFonts w:eastAsiaTheme="minorEastAsia"/>
          <w:i/>
          <w:iCs/>
          <w:color w:val="2C2B2B"/>
          <w:sz w:val="30"/>
          <w:szCs w:val="30"/>
          <w:lang w:eastAsia="ja-JP"/>
        </w:rPr>
        <w:t xml:space="preserve"> Le Parisien. La fameuse </w:t>
      </w:r>
      <w:r w:rsidRPr="005430CC">
        <w:rPr>
          <w:rFonts w:eastAsiaTheme="minorEastAsia"/>
          <w:color w:val="2C2B2B"/>
          <w:sz w:val="30"/>
          <w:szCs w:val="30"/>
          <w:lang w:eastAsia="ja-JP"/>
        </w:rPr>
        <w:t>“débrouille”</w:t>
      </w:r>
      <w:r w:rsidRPr="005430CC">
        <w:rPr>
          <w:rFonts w:eastAsiaTheme="minorEastAsia"/>
          <w:i/>
          <w:iCs/>
          <w:color w:val="2C2B2B"/>
          <w:sz w:val="30"/>
          <w:szCs w:val="30"/>
          <w:lang w:eastAsia="ja-JP"/>
        </w:rPr>
        <w:t xml:space="preserve"> à la française cède donc la place à la notion de </w:t>
      </w:r>
      <w:r w:rsidRPr="005430CC">
        <w:rPr>
          <w:rFonts w:eastAsiaTheme="minorEastAsia"/>
          <w:color w:val="2C2B2B"/>
          <w:sz w:val="30"/>
          <w:szCs w:val="30"/>
          <w:lang w:eastAsia="ja-JP"/>
        </w:rPr>
        <w:t>“partage”.</w:t>
      </w:r>
      <w:r w:rsidRPr="005430CC">
        <w:rPr>
          <w:rFonts w:eastAsiaTheme="minorEastAsia"/>
          <w:i/>
          <w:iCs/>
          <w:color w:val="2C2B2B"/>
          <w:sz w:val="30"/>
          <w:szCs w:val="30"/>
          <w:lang w:eastAsia="ja-JP"/>
        </w:rPr>
        <w:t xml:space="preserve"> Le phénomène dépasse d’ailleurs largement nos frontières, puisque des spécialistes de la prospective nous </w:t>
      </w:r>
      <w:proofErr w:type="gramStart"/>
      <w:r w:rsidRPr="005430CC">
        <w:rPr>
          <w:rFonts w:eastAsiaTheme="minorEastAsia"/>
          <w:i/>
          <w:iCs/>
          <w:color w:val="2C2B2B"/>
          <w:sz w:val="30"/>
          <w:szCs w:val="30"/>
          <w:lang w:eastAsia="ja-JP"/>
        </w:rPr>
        <w:t>promettent</w:t>
      </w:r>
      <w:proofErr w:type="gramEnd"/>
      <w:r w:rsidRPr="005430CC">
        <w:rPr>
          <w:rFonts w:eastAsiaTheme="minorEastAsia"/>
          <w:i/>
          <w:iCs/>
          <w:color w:val="2C2B2B"/>
          <w:sz w:val="30"/>
          <w:szCs w:val="30"/>
          <w:lang w:eastAsia="ja-JP"/>
        </w:rPr>
        <w:t xml:space="preserve"> aujourd’hui que le XXI</w:t>
      </w:r>
      <w:r w:rsidRPr="005430CC">
        <w:rPr>
          <w:rFonts w:eastAsiaTheme="minorEastAsia"/>
          <w:i/>
          <w:iCs/>
          <w:color w:val="2C2B2B"/>
          <w:sz w:val="22"/>
          <w:szCs w:val="22"/>
          <w:lang w:eastAsia="ja-JP"/>
        </w:rPr>
        <w:t>e</w:t>
      </w:r>
      <w:r w:rsidRPr="005430CC">
        <w:rPr>
          <w:rFonts w:eastAsiaTheme="minorEastAsia"/>
          <w:i/>
          <w:iCs/>
          <w:color w:val="2C2B2B"/>
          <w:sz w:val="30"/>
          <w:szCs w:val="30"/>
          <w:lang w:eastAsia="ja-JP"/>
        </w:rPr>
        <w:t> siècle sera partageur ou ne sera pas. »</w:t>
      </w:r>
    </w:p>
    <w:sectPr w:rsidR="00EF5EB9" w:rsidRPr="005430CC" w:rsidSect="00E657DA">
      <w:pgSz w:w="11900" w:h="16840"/>
      <w:pgMar w:top="1701" w:right="1418"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00000001" w:usb1="08070000" w:usb2="00000010" w:usb3="00000000" w:csb0="00020000" w:csb1="00000000"/>
  </w:font>
  <w:font w:name="Arial Narrow">
    <w:panose1 w:val="020B0506020202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30CC"/>
    <w:rsid w:val="00045469"/>
    <w:rsid w:val="000D10C8"/>
    <w:rsid w:val="000F53A9"/>
    <w:rsid w:val="0012662C"/>
    <w:rsid w:val="0016271E"/>
    <w:rsid w:val="00286D10"/>
    <w:rsid w:val="002D5E55"/>
    <w:rsid w:val="0046039B"/>
    <w:rsid w:val="005430CC"/>
    <w:rsid w:val="006012EA"/>
    <w:rsid w:val="007B74BC"/>
    <w:rsid w:val="00B13FA4"/>
    <w:rsid w:val="00BE6BD9"/>
    <w:rsid w:val="00CE7753"/>
    <w:rsid w:val="00DC47A4"/>
    <w:rsid w:val="00E657DA"/>
    <w:rsid w:val="00EF5EB9"/>
  </w:rsids>
  <m:mathPr>
    <m:mathFont m:val="Cambria Math"/>
    <m:brkBin m:val="before"/>
    <m:brkBinSub m:val="--"/>
    <m:smallFrac m:val="0"/>
    <m:dispDef m:val="0"/>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B54C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fr-FR"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271E"/>
    <w:pPr>
      <w:spacing w:line="360" w:lineRule="auto"/>
      <w:jc w:val="both"/>
    </w:pPr>
    <w:rPr>
      <w:rFonts w:eastAsia="Times New Roman"/>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itation">
    <w:name w:val="Quote"/>
    <w:basedOn w:val="Normal"/>
    <w:next w:val="Normal"/>
    <w:link w:val="CitationCar"/>
    <w:autoRedefine/>
    <w:uiPriority w:val="29"/>
    <w:qFormat/>
    <w:rsid w:val="00286D10"/>
    <w:pPr>
      <w:spacing w:before="120"/>
      <w:ind w:left="709" w:right="567"/>
    </w:pPr>
    <w:rPr>
      <w:rFonts w:ascii="Arial Narrow" w:eastAsiaTheme="minorEastAsia" w:hAnsi="Arial Narrow"/>
      <w:i/>
      <w:iCs/>
      <w:color w:val="000000" w:themeColor="text1"/>
      <w:sz w:val="22"/>
      <w:szCs w:val="22"/>
      <w:lang w:eastAsia="ja-JP"/>
    </w:rPr>
  </w:style>
  <w:style w:type="character" w:customStyle="1" w:styleId="CitationCar">
    <w:name w:val="Citation Car"/>
    <w:basedOn w:val="Policepardfaut"/>
    <w:link w:val="Citation"/>
    <w:uiPriority w:val="29"/>
    <w:rsid w:val="00286D10"/>
    <w:rPr>
      <w:rFonts w:ascii="Arial Narrow" w:hAnsi="Arial Narrow"/>
      <w:i/>
      <w:iCs/>
      <w:color w:val="000000" w:themeColor="text1"/>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fr-FR"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271E"/>
    <w:pPr>
      <w:spacing w:line="360" w:lineRule="auto"/>
      <w:jc w:val="both"/>
    </w:pPr>
    <w:rPr>
      <w:rFonts w:eastAsia="Times New Roman"/>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itation">
    <w:name w:val="Quote"/>
    <w:basedOn w:val="Normal"/>
    <w:next w:val="Normal"/>
    <w:link w:val="CitationCar"/>
    <w:autoRedefine/>
    <w:uiPriority w:val="29"/>
    <w:qFormat/>
    <w:rsid w:val="00286D10"/>
    <w:pPr>
      <w:spacing w:before="120"/>
      <w:ind w:left="709" w:right="567"/>
    </w:pPr>
    <w:rPr>
      <w:rFonts w:ascii="Arial Narrow" w:eastAsiaTheme="minorEastAsia" w:hAnsi="Arial Narrow"/>
      <w:i/>
      <w:iCs/>
      <w:color w:val="000000" w:themeColor="text1"/>
      <w:sz w:val="22"/>
      <w:szCs w:val="22"/>
      <w:lang w:eastAsia="ja-JP"/>
    </w:rPr>
  </w:style>
  <w:style w:type="character" w:customStyle="1" w:styleId="CitationCar">
    <w:name w:val="Citation Car"/>
    <w:basedOn w:val="Policepardfaut"/>
    <w:link w:val="Citation"/>
    <w:uiPriority w:val="29"/>
    <w:rsid w:val="00286D10"/>
    <w:rPr>
      <w:rFonts w:ascii="Arial Narrow" w:hAnsi="Arial Narrow"/>
      <w:i/>
      <w:iCs/>
      <w:color w:val="000000" w:themeColor="text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rfi.fr/auteur/frederic-couteau/"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547</Words>
  <Characters>3011</Characters>
  <Application>Microsoft Macintosh Word</Application>
  <DocSecurity>0</DocSecurity>
  <Lines>25</Lines>
  <Paragraphs>7</Paragraphs>
  <ScaleCrop>false</ScaleCrop>
  <Company/>
  <LinksUpToDate>false</LinksUpToDate>
  <CharactersWithSpaces>3551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Galisson</dc:creator>
  <cp:keywords/>
  <dc:description/>
  <cp:lastModifiedBy>Olivia Galisson</cp:lastModifiedBy>
  <cp:revision>1</cp:revision>
  <dcterms:created xsi:type="dcterms:W3CDTF">2014-11-11T18:45:00Z</dcterms:created>
  <dcterms:modified xsi:type="dcterms:W3CDTF">2014-11-11T19:01:00Z</dcterms:modified>
</cp:coreProperties>
</file>