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9C" w:rsidRPr="00025B9C" w:rsidRDefault="00025B9C" w:rsidP="00025B9C">
      <w:pPr>
        <w:suppressAutoHyphens w:val="0"/>
        <w:jc w:val="both"/>
        <w:rPr>
          <w:rFonts w:ascii="Verdana" w:eastAsiaTheme="minorEastAsia" w:hAnsi="Verdana"/>
          <w:kern w:val="0"/>
          <w:szCs w:val="20"/>
          <w:lang w:eastAsia="fr-FR"/>
        </w:rPr>
      </w:pPr>
      <w:r>
        <w:rPr>
          <w:rFonts w:ascii="Verdana" w:eastAsiaTheme="minorEastAsia" w:hAnsi="Verdana"/>
          <w:color w:val="000000"/>
          <w:kern w:val="0"/>
          <w:sz w:val="24"/>
          <w:lang w:eastAsia="fr-FR"/>
        </w:rPr>
        <w:t xml:space="preserve">1) </w:t>
      </w:r>
      <w:r w:rsidRPr="00025B9C">
        <w:rPr>
          <w:rFonts w:ascii="Verdana" w:eastAsiaTheme="minorEastAsia" w:hAnsi="Verdana"/>
          <w:color w:val="000000"/>
          <w:kern w:val="0"/>
          <w:sz w:val="24"/>
          <w:lang w:eastAsia="fr-FR"/>
        </w:rPr>
        <w:t>LA RÉPARTITION DES FAMILLES SELON LEUR TYPE</w:t>
      </w:r>
    </w:p>
    <w:p w:rsidR="00025B9C" w:rsidRPr="00025B9C" w:rsidRDefault="00025B9C" w:rsidP="00025B9C">
      <w:pPr>
        <w:suppressAutoHyphens w:val="0"/>
        <w:jc w:val="both"/>
        <w:rPr>
          <w:rFonts w:ascii="Verdana" w:eastAsiaTheme="minorEastAsia" w:hAnsi="Verdana"/>
          <w:kern w:val="0"/>
          <w:szCs w:val="20"/>
          <w:lang w:eastAsia="fr-FR"/>
        </w:rPr>
      </w:pPr>
      <w:r w:rsidRPr="00025B9C">
        <w:rPr>
          <w:rFonts w:ascii="Verdana" w:eastAsiaTheme="minorEastAsia" w:hAnsi="Verdana"/>
          <w:color w:val="000000"/>
          <w:kern w:val="0"/>
          <w:sz w:val="24"/>
          <w:lang w:eastAsia="fr-FR"/>
        </w:rPr>
        <w:t xml:space="preserve">Il y a plusieurs types de famille: les familles traditionnelles sont composées par les deux parents et les enfants; les familles recomposées sont composées par deux personnes qui ont divorcés, qui se sont mariés à nouveau et qui vivent avec les enfants du premier mariage; les familles monoparentales sont composées par un parent qui habite avec ses enfantes. </w:t>
      </w:r>
    </w:p>
    <w:p w:rsidR="00025B9C" w:rsidRPr="00025B9C" w:rsidRDefault="00025B9C" w:rsidP="00025B9C">
      <w:pPr>
        <w:suppressAutoHyphens w:val="0"/>
        <w:jc w:val="both"/>
        <w:rPr>
          <w:rFonts w:ascii="Verdana" w:eastAsiaTheme="minorEastAsia" w:hAnsi="Verdana"/>
          <w:kern w:val="0"/>
          <w:szCs w:val="20"/>
          <w:lang w:eastAsia="fr-FR"/>
        </w:rPr>
      </w:pPr>
      <w:r w:rsidRPr="00025B9C">
        <w:rPr>
          <w:rFonts w:ascii="Verdana" w:eastAsiaTheme="minorEastAsia" w:hAnsi="Verdana"/>
          <w:color w:val="000000"/>
          <w:kern w:val="0"/>
          <w:sz w:val="24"/>
          <w:lang w:eastAsia="fr-FR"/>
        </w:rPr>
        <w:t xml:space="preserve">Cette </w:t>
      </w:r>
      <w:proofErr w:type="spellStart"/>
      <w:r w:rsidRPr="00025B9C">
        <w:rPr>
          <w:rFonts w:ascii="Verdana" w:eastAsiaTheme="minorEastAsia" w:hAnsi="Verdana"/>
          <w:color w:val="000000"/>
          <w:kern w:val="0"/>
          <w:sz w:val="24"/>
          <w:lang w:eastAsia="fr-FR"/>
        </w:rPr>
        <w:t>repartitition</w:t>
      </w:r>
      <w:proofErr w:type="spellEnd"/>
      <w:r w:rsidRPr="00025B9C">
        <w:rPr>
          <w:rFonts w:ascii="Verdana" w:eastAsiaTheme="minorEastAsia" w:hAnsi="Verdana"/>
          <w:color w:val="000000"/>
          <w:kern w:val="0"/>
          <w:sz w:val="24"/>
          <w:lang w:eastAsia="fr-FR"/>
        </w:rPr>
        <w:t xml:space="preserve"> des familles à changée dans le temps.</w:t>
      </w:r>
    </w:p>
    <w:p w:rsidR="00025B9C" w:rsidRPr="00025B9C" w:rsidRDefault="00025B9C" w:rsidP="00025B9C">
      <w:pPr>
        <w:suppressAutoHyphens w:val="0"/>
        <w:jc w:val="both"/>
        <w:rPr>
          <w:rFonts w:ascii="Verdana" w:eastAsiaTheme="minorEastAsia" w:hAnsi="Verdana"/>
          <w:kern w:val="0"/>
          <w:szCs w:val="20"/>
          <w:lang w:eastAsia="fr-FR"/>
        </w:rPr>
      </w:pPr>
      <w:r w:rsidRPr="00025B9C">
        <w:rPr>
          <w:rFonts w:ascii="Verdana" w:eastAsiaTheme="minorEastAsia" w:hAnsi="Verdana"/>
          <w:color w:val="000000"/>
          <w:kern w:val="0"/>
          <w:sz w:val="24"/>
          <w:lang w:eastAsia="fr-FR"/>
        </w:rPr>
        <w:t>On peut le voir en observant les données de l’année 2011, qui se basent sur 7774 familles et les données de l’année 1999, qui se basent sur 7369 familles .</w:t>
      </w:r>
    </w:p>
    <w:p w:rsidR="00025B9C" w:rsidRPr="00025B9C" w:rsidRDefault="00025B9C" w:rsidP="00025B9C">
      <w:pPr>
        <w:suppressAutoHyphens w:val="0"/>
        <w:jc w:val="both"/>
        <w:rPr>
          <w:rFonts w:ascii="Verdana" w:eastAsiaTheme="minorEastAsia" w:hAnsi="Verdana"/>
          <w:kern w:val="0"/>
          <w:szCs w:val="20"/>
          <w:lang w:eastAsia="fr-FR"/>
        </w:rPr>
      </w:pPr>
      <w:r w:rsidRPr="00025B9C">
        <w:rPr>
          <w:rFonts w:ascii="Verdana" w:eastAsiaTheme="minorEastAsia" w:hAnsi="Verdana"/>
          <w:color w:val="000000"/>
          <w:kern w:val="0"/>
          <w:sz w:val="24"/>
          <w:lang w:eastAsia="fr-FR"/>
        </w:rPr>
        <w:t>En 2011 on trouve 5474 familles traditionnelles (70,4%), tandis que en 1999 on trouve 5526 (75.0). Ces familles habitent, en moyen, avec 1.8 enfants.</w:t>
      </w:r>
    </w:p>
    <w:p w:rsidR="00025B9C" w:rsidRPr="00025B9C" w:rsidRDefault="00025B9C" w:rsidP="00025B9C">
      <w:pPr>
        <w:suppressAutoHyphens w:val="0"/>
        <w:jc w:val="both"/>
        <w:rPr>
          <w:rFonts w:ascii="Verdana" w:eastAsiaTheme="minorEastAsia" w:hAnsi="Verdana"/>
          <w:kern w:val="0"/>
          <w:szCs w:val="20"/>
          <w:lang w:eastAsia="fr-FR"/>
        </w:rPr>
      </w:pPr>
      <w:r w:rsidRPr="00025B9C">
        <w:rPr>
          <w:rFonts w:ascii="Verdana" w:eastAsiaTheme="minorEastAsia" w:hAnsi="Verdana"/>
          <w:color w:val="000000"/>
          <w:kern w:val="0"/>
          <w:sz w:val="24"/>
          <w:lang w:eastAsia="fr-FR"/>
        </w:rPr>
        <w:t>Pour ce qui concerne les familles recomposées, en 2011 on en compte 723 (9.3%), tandis que en 1999 on en compte 641 (8.7%). Le nombre moyen d’enfants est 2.</w:t>
      </w:r>
    </w:p>
    <w:p w:rsidR="00025B9C" w:rsidRPr="00025B9C" w:rsidRDefault="00025B9C" w:rsidP="00025B9C">
      <w:pPr>
        <w:suppressAutoHyphens w:val="0"/>
        <w:jc w:val="both"/>
        <w:rPr>
          <w:rFonts w:ascii="Verdana" w:eastAsiaTheme="minorEastAsia" w:hAnsi="Verdana"/>
          <w:color w:val="000000"/>
          <w:kern w:val="0"/>
          <w:sz w:val="24"/>
          <w:lang w:eastAsia="fr-FR"/>
        </w:rPr>
      </w:pPr>
      <w:r w:rsidRPr="00025B9C">
        <w:rPr>
          <w:rFonts w:ascii="Verdana" w:eastAsiaTheme="minorEastAsia" w:hAnsi="Verdana"/>
          <w:color w:val="000000"/>
          <w:kern w:val="0"/>
          <w:sz w:val="24"/>
          <w:lang w:eastAsia="fr-FR"/>
        </w:rPr>
        <w:t>Enfin, on trouve 1577 familles monoparentales (20.3%) en 2011 contre 1</w:t>
      </w:r>
      <w:bookmarkStart w:id="0" w:name="_GoBack"/>
      <w:bookmarkEnd w:id="0"/>
      <w:r w:rsidRPr="00025B9C">
        <w:rPr>
          <w:rFonts w:ascii="Verdana" w:eastAsiaTheme="minorEastAsia" w:hAnsi="Verdana"/>
          <w:color w:val="000000"/>
          <w:kern w:val="0"/>
          <w:sz w:val="24"/>
          <w:lang w:eastAsia="fr-FR"/>
        </w:rPr>
        <w:t>202 en 1999 (16.3%). Ces familles comptent en moyen 1.6 enfants.</w:t>
      </w:r>
    </w:p>
    <w:p w:rsidR="00025B9C" w:rsidRDefault="00025B9C" w:rsidP="00025B9C">
      <w:pPr>
        <w:suppressAutoHyphens w:val="0"/>
        <w:jc w:val="both"/>
        <w:rPr>
          <w:rFonts w:ascii="Calibri" w:eastAsiaTheme="minorEastAsia" w:hAnsi="Calibri"/>
          <w:color w:val="000000"/>
          <w:kern w:val="0"/>
          <w:sz w:val="24"/>
          <w:lang w:eastAsia="fr-FR"/>
        </w:rPr>
      </w:pPr>
    </w:p>
    <w:p w:rsidR="00025B9C" w:rsidRPr="00025B9C" w:rsidRDefault="00025B9C" w:rsidP="00025B9C">
      <w:pPr>
        <w:suppressAutoHyphens w:val="0"/>
        <w:spacing w:after="160"/>
        <w:jc w:val="both"/>
        <w:rPr>
          <w:rFonts w:ascii="Times" w:eastAsiaTheme="minorEastAsia" w:hAnsi="Times"/>
          <w:kern w:val="0"/>
          <w:szCs w:val="20"/>
          <w:lang w:eastAsia="fr-FR"/>
        </w:rPr>
      </w:pPr>
      <w:r>
        <w:rPr>
          <w:rFonts w:ascii="Verdana" w:eastAsiaTheme="minorEastAsia" w:hAnsi="Verdana"/>
          <w:color w:val="000000"/>
          <w:kern w:val="0"/>
          <w:sz w:val="24"/>
          <w:lang w:eastAsia="fr-FR"/>
        </w:rPr>
        <w:t xml:space="preserve">2) </w:t>
      </w:r>
      <w:r w:rsidRPr="00025B9C">
        <w:rPr>
          <w:rFonts w:ascii="Verdana" w:eastAsiaTheme="minorEastAsia" w:hAnsi="Verdana"/>
          <w:color w:val="000000"/>
          <w:kern w:val="0"/>
          <w:sz w:val="24"/>
          <w:lang w:eastAsia="fr-FR"/>
        </w:rPr>
        <w:t xml:space="preserve">Répartition des familles selon leur type </w:t>
      </w:r>
    </w:p>
    <w:p w:rsidR="00025B9C" w:rsidRPr="00025B9C" w:rsidRDefault="00025B9C" w:rsidP="00025B9C">
      <w:pPr>
        <w:suppressAutoHyphens w:val="0"/>
        <w:jc w:val="both"/>
        <w:rPr>
          <w:rFonts w:ascii="Times" w:hAnsi="Times"/>
          <w:kern w:val="0"/>
          <w:szCs w:val="20"/>
          <w:lang w:eastAsia="fr-FR"/>
        </w:rPr>
      </w:pP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Verdana" w:eastAsiaTheme="minorEastAsia" w:hAnsi="Verdana"/>
          <w:color w:val="000000"/>
          <w:kern w:val="0"/>
          <w:sz w:val="24"/>
          <w:lang w:eastAsia="fr-FR"/>
        </w:rPr>
        <w:t xml:space="preserve">Voici une vue d’ensemble de la répartition des familles en France, dans les années 2011 et 1999. </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Verdana" w:eastAsiaTheme="minorEastAsia" w:hAnsi="Verdana"/>
          <w:color w:val="000000"/>
          <w:kern w:val="0"/>
          <w:sz w:val="24"/>
          <w:lang w:eastAsia="fr-FR"/>
        </w:rPr>
        <w:t xml:space="preserve">Il faut distinguer les différentes typologies des familles existant dans le pays : il y a les familles « traditionnelles », recomposées et monoparentales. </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Verdana" w:eastAsiaTheme="minorEastAsia" w:hAnsi="Verdana"/>
          <w:color w:val="000000"/>
          <w:kern w:val="0"/>
          <w:sz w:val="24"/>
          <w:lang w:eastAsia="fr-FR"/>
        </w:rPr>
        <w:t xml:space="preserve">Si on analyse la situation générale, en considérant les valeurs en milliers proposés par le tableau, on peut constater une majorité des familles « traditionnelles », soit en 2011, soit en 1999. Les deux valeurs dépassent le numéro 5000 : 5474 (70,4%) en 2011 ; 5526 (75%) en 1999. Les familles monoparentales sont aussi assez diffusées dans les deux années, respectivement 1577 (20,3%) en 2011 et 1202 (16,3%) en 1999. </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Verdana" w:eastAsiaTheme="minorEastAsia" w:hAnsi="Verdana"/>
          <w:color w:val="000000"/>
          <w:kern w:val="0"/>
          <w:sz w:val="24"/>
          <w:lang w:eastAsia="fr-FR"/>
        </w:rPr>
        <w:t xml:space="preserve">En ce qui concerne la troisième typologie, c’est-à-dire les familles recomposées, il y en a relativement peu, avec une distinction entre l’année 2011 (723, 9,3%) et l’année 1999 (541, 8,7%). </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Verdana" w:eastAsiaTheme="minorEastAsia" w:hAnsi="Verdana"/>
          <w:color w:val="000000"/>
          <w:kern w:val="0"/>
          <w:sz w:val="24"/>
          <w:lang w:eastAsia="fr-FR"/>
        </w:rPr>
        <w:t>Une chose à ajouter : la particularité est que les familles recomposées, malgré moins diffusées, ont un nombre moyen d’enfants supérieur aux autres familles. De toute façon, les trois valeurs oscillent entre 1,5 et 2, il n’y a pas une différence exagérée. Les enfants sont un élément important pour tous les trois familles analysées ci-dessus.   </w:t>
      </w:r>
    </w:p>
    <w:p w:rsidR="00025B9C" w:rsidRDefault="00025B9C" w:rsidP="00025B9C">
      <w:pPr>
        <w:suppressAutoHyphens w:val="0"/>
        <w:jc w:val="both"/>
        <w:rPr>
          <w:rFonts w:ascii="Times" w:eastAsiaTheme="minorEastAsia" w:hAnsi="Times"/>
          <w:kern w:val="0"/>
          <w:szCs w:val="20"/>
          <w:lang w:eastAsia="fr-FR"/>
        </w:rPr>
      </w:pPr>
    </w:p>
    <w:p w:rsidR="00025B9C" w:rsidRDefault="00025B9C" w:rsidP="00025B9C">
      <w:pPr>
        <w:suppressAutoHyphens w:val="0"/>
        <w:jc w:val="both"/>
        <w:rPr>
          <w:rFonts w:ascii="Times" w:eastAsiaTheme="minorEastAsia" w:hAnsi="Times"/>
          <w:kern w:val="0"/>
          <w:szCs w:val="20"/>
          <w:lang w:eastAsia="fr-FR"/>
        </w:rPr>
      </w:pPr>
    </w:p>
    <w:p w:rsidR="00025B9C" w:rsidRDefault="00025B9C" w:rsidP="00025B9C">
      <w:pPr>
        <w:suppressAutoHyphens w:val="0"/>
        <w:jc w:val="both"/>
        <w:rPr>
          <w:rFonts w:ascii="Times" w:eastAsiaTheme="minorEastAsia" w:hAnsi="Times"/>
          <w:kern w:val="0"/>
          <w:szCs w:val="20"/>
          <w:lang w:eastAsia="fr-FR"/>
        </w:rPr>
      </w:pPr>
    </w:p>
    <w:p w:rsidR="00025B9C" w:rsidRDefault="00025B9C" w:rsidP="00025B9C">
      <w:pPr>
        <w:suppressAutoHyphens w:val="0"/>
        <w:jc w:val="both"/>
        <w:rPr>
          <w:rFonts w:ascii="Times" w:eastAsiaTheme="minorEastAsia" w:hAnsi="Times"/>
          <w:kern w:val="0"/>
          <w:szCs w:val="20"/>
          <w:lang w:eastAsia="fr-FR"/>
        </w:rPr>
      </w:pPr>
      <w:r>
        <w:rPr>
          <w:rFonts w:ascii="Times" w:eastAsiaTheme="minorEastAsia" w:hAnsi="Times"/>
          <w:kern w:val="0"/>
          <w:szCs w:val="20"/>
          <w:lang w:eastAsia="fr-FR"/>
        </w:rPr>
        <w:br w:type="page"/>
      </w:r>
    </w:p>
    <w:p w:rsidR="00025B9C" w:rsidRPr="00025B9C" w:rsidRDefault="00025B9C" w:rsidP="00025B9C">
      <w:pPr>
        <w:suppressAutoHyphens w:val="0"/>
        <w:jc w:val="both"/>
        <w:rPr>
          <w:rFonts w:ascii="Times" w:eastAsiaTheme="minorEastAsia" w:hAnsi="Times"/>
          <w:kern w:val="0"/>
          <w:szCs w:val="20"/>
          <w:lang w:eastAsia="fr-FR"/>
        </w:rPr>
      </w:pPr>
    </w:p>
    <w:p w:rsidR="00025B9C" w:rsidRPr="00025B9C" w:rsidRDefault="00025B9C" w:rsidP="00025B9C">
      <w:pPr>
        <w:suppressAutoHyphens w:val="0"/>
        <w:jc w:val="both"/>
        <w:rPr>
          <w:rFonts w:ascii="Times" w:hAnsi="Times"/>
          <w:kern w:val="0"/>
          <w:szCs w:val="20"/>
          <w:lang w:eastAsia="fr-FR"/>
        </w:rPr>
      </w:pP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 xml:space="preserve">UNE COMPARAISON EUROPÉENNE </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 xml:space="preserve">En 2011, on a fait un recherche parmi les pays européens sur les naissances hors mariage, sur le taux brut de nuptialité et sur les divorces sur 1000 habitants. </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 xml:space="preserve">La Belgique compte 22% de naissances hors mariage, 4,1% de taux brut nuptialité et 2,9 divorcés pour 1000 habitants. </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La Danemark compte 44,6% de naissances hors mariage, 6,6% de taux brut de nuptialité et 2,7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L'Allemagne compte 23,6% de naissances hors mariage, 4,7% de taux brut de nuptialité et 2,4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La Grèce compte 4,1% de naissances hors mariage, 5,4% de taux brut de nuptialité et 0,9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L'Espagne compte 17% de naissances hors mariage, 5,2% de taux brut de nuptialité et 1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La France compte 42,6% de naissances hors mariage, 5,1% de taux brut de nuptialité et 2,1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L'Irlande compte 31,2% de naissances hors mariage, 5,7% de taux brut de nuptialité et 0,7 divorcés pour 1000 habitants.</w:t>
      </w:r>
    </w:p>
    <w:p w:rsidR="00025B9C" w:rsidRPr="00025B9C" w:rsidRDefault="00025B9C" w:rsidP="00025B9C">
      <w:pPr>
        <w:suppressAutoHyphens w:val="0"/>
        <w:jc w:val="both"/>
        <w:rPr>
          <w:rFonts w:ascii="Times" w:eastAsiaTheme="minorEastAsia" w:hAnsi="Times"/>
          <w:kern w:val="0"/>
          <w:szCs w:val="20"/>
          <w:lang w:eastAsia="fr-FR"/>
        </w:rPr>
      </w:pPr>
      <w:proofErr w:type="spellStart"/>
      <w:r w:rsidRPr="00025B9C">
        <w:rPr>
          <w:rFonts w:ascii="Calibri" w:eastAsiaTheme="minorEastAsia" w:hAnsi="Calibri"/>
          <w:color w:val="000000"/>
          <w:kern w:val="0"/>
          <w:sz w:val="24"/>
          <w:lang w:eastAsia="fr-FR"/>
        </w:rPr>
        <w:t>L'italie</w:t>
      </w:r>
      <w:proofErr w:type="spellEnd"/>
      <w:r w:rsidRPr="00025B9C">
        <w:rPr>
          <w:rFonts w:ascii="Calibri" w:eastAsiaTheme="minorEastAsia" w:hAnsi="Calibri"/>
          <w:color w:val="000000"/>
          <w:kern w:val="0"/>
          <w:sz w:val="24"/>
          <w:lang w:eastAsia="fr-FR"/>
        </w:rPr>
        <w:t xml:space="preserve"> compte 9’6% de naissances hors mariage, 4,9% de taux brut de nuptialité et 0,7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Le Luxembourg compte 22,3% de naissances hors mariage, 4,5% de taux brut de nuptialité et 2.3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Les Pays-Bas comptent 27,7% de naissances hors mariage, 5,1% de taux brut de nuptialité et 2,3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L’L'Autriche compte 33,1% de naissances hors mariage, 4,2% de taux brut de nuptialité et 2,4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Le Portugal compte 23,8% de naissances hors mariage, 5,7% de taux brut de nuptialité et 1,8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La Finlande compte 39,5% de naissances hors mariage, 4,8% de taux brut de nuptialité et 2,6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Le Suède compte 55,5% de naissances hors mariage, 4% de taux brut de nuptialité et 2,4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Le Royaume-Uni compte 40,1% de naissances hors mariage, 5,1% de taux brut de nuptialité et 2,6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Les USA  comptent 28,4% de naissances hors mariage, 5,1% de taux brut de nuptialité et 1,9 divorcés pour 1000 habitants.</w:t>
      </w: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Calibri" w:eastAsiaTheme="minorEastAsia" w:hAnsi="Calibri"/>
          <w:color w:val="000000"/>
          <w:kern w:val="0"/>
          <w:sz w:val="24"/>
          <w:lang w:eastAsia="fr-FR"/>
        </w:rPr>
        <w:t>Donc, selon les données, on peut affirmer que la Danemark a le plus haut pourcentage de naissances hors mariage et le plus haut taux brut de nuptialité et la Belgique a le plus haut taux de divorces.</w:t>
      </w:r>
    </w:p>
    <w:p w:rsidR="00025B9C" w:rsidRPr="00025B9C" w:rsidRDefault="00025B9C" w:rsidP="00025B9C">
      <w:pPr>
        <w:suppressAutoHyphens w:val="0"/>
        <w:jc w:val="both"/>
        <w:rPr>
          <w:rFonts w:ascii="Times" w:hAnsi="Times"/>
          <w:kern w:val="0"/>
          <w:szCs w:val="20"/>
          <w:lang w:eastAsia="fr-FR"/>
        </w:rPr>
      </w:pPr>
      <w:r w:rsidRPr="00025B9C">
        <w:rPr>
          <w:rFonts w:ascii="Calibri" w:hAnsi="Calibri"/>
          <w:color w:val="000000"/>
          <w:kern w:val="0"/>
          <w:sz w:val="24"/>
          <w:lang w:eastAsia="fr-FR"/>
        </w:rPr>
        <w:t>En revanche, la Grèce a le plus bas pourcentage de naissances hors mariage, la Suède a les plus bas taux brut de nuptialité et l'Irlande et l'Italie ont le plus bas taux de divorces.</w:t>
      </w:r>
    </w:p>
    <w:p w:rsidR="00EF5EB9" w:rsidRDefault="00EF5EB9" w:rsidP="00025B9C">
      <w:pPr>
        <w:jc w:val="both"/>
      </w:pPr>
    </w:p>
    <w:p w:rsidR="00025B9C" w:rsidRDefault="00025B9C" w:rsidP="00025B9C">
      <w:pPr>
        <w:jc w:val="both"/>
      </w:pPr>
    </w:p>
    <w:p w:rsidR="00025B9C" w:rsidRPr="00025B9C" w:rsidRDefault="00025B9C" w:rsidP="00025B9C">
      <w:pPr>
        <w:suppressAutoHyphens w:val="0"/>
        <w:jc w:val="both"/>
        <w:rPr>
          <w:rFonts w:ascii="Times" w:hAnsi="Times"/>
          <w:kern w:val="0"/>
          <w:szCs w:val="20"/>
          <w:lang w:eastAsia="fr-FR"/>
        </w:rPr>
      </w:pPr>
    </w:p>
    <w:p w:rsidR="00025B9C" w:rsidRPr="00025B9C" w:rsidRDefault="00025B9C" w:rsidP="00025B9C">
      <w:pPr>
        <w:suppressAutoHyphens w:val="0"/>
        <w:jc w:val="both"/>
        <w:rPr>
          <w:rFonts w:ascii="Times" w:hAnsi="Times"/>
          <w:kern w:val="0"/>
          <w:szCs w:val="20"/>
          <w:lang w:eastAsia="fr-FR"/>
        </w:rPr>
      </w:pPr>
    </w:p>
    <w:p w:rsidR="00025B9C" w:rsidRPr="00025B9C" w:rsidRDefault="00025B9C" w:rsidP="00025B9C">
      <w:pPr>
        <w:suppressAutoHyphens w:val="0"/>
        <w:jc w:val="both"/>
        <w:rPr>
          <w:rFonts w:ascii="Times" w:hAnsi="Times"/>
          <w:kern w:val="0"/>
          <w:szCs w:val="20"/>
          <w:lang w:eastAsia="fr-FR"/>
        </w:rPr>
      </w:pP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Verdana" w:eastAsiaTheme="minorEastAsia" w:hAnsi="Verdana"/>
          <w:b/>
          <w:bCs/>
          <w:color w:val="000000"/>
          <w:kern w:val="0"/>
          <w:sz w:val="24"/>
          <w:u w:val="single"/>
          <w:lang w:eastAsia="fr-FR"/>
        </w:rPr>
        <w:t>Exercice n.5</w:t>
      </w:r>
      <w:r w:rsidRPr="00025B9C">
        <w:rPr>
          <w:rFonts w:ascii="Verdana" w:eastAsiaTheme="minorEastAsia" w:hAnsi="Verdana"/>
          <w:color w:val="000000"/>
          <w:kern w:val="0"/>
          <w:sz w:val="24"/>
          <w:lang w:eastAsia="fr-FR"/>
        </w:rPr>
        <w:t> : Une comparaison européenne (2001)</w:t>
      </w:r>
    </w:p>
    <w:p w:rsidR="00025B9C" w:rsidRPr="00025B9C" w:rsidRDefault="00025B9C" w:rsidP="00025B9C">
      <w:pPr>
        <w:suppressAutoHyphens w:val="0"/>
        <w:jc w:val="both"/>
        <w:rPr>
          <w:rFonts w:ascii="Times" w:hAnsi="Times"/>
          <w:kern w:val="0"/>
          <w:szCs w:val="20"/>
          <w:lang w:eastAsia="fr-FR"/>
        </w:rPr>
      </w:pPr>
    </w:p>
    <w:p w:rsidR="00025B9C" w:rsidRPr="00025B9C" w:rsidRDefault="00025B9C" w:rsidP="00025B9C">
      <w:pPr>
        <w:suppressAutoHyphens w:val="0"/>
        <w:jc w:val="both"/>
        <w:rPr>
          <w:rFonts w:ascii="Times" w:hAnsi="Times"/>
          <w:kern w:val="0"/>
          <w:szCs w:val="20"/>
          <w:lang w:eastAsia="fr-FR"/>
        </w:rPr>
      </w:pPr>
    </w:p>
    <w:p w:rsidR="00025B9C" w:rsidRPr="00025B9C" w:rsidRDefault="00025B9C" w:rsidP="00025B9C">
      <w:pPr>
        <w:suppressAutoHyphens w:val="0"/>
        <w:jc w:val="both"/>
        <w:rPr>
          <w:rFonts w:ascii="Times" w:eastAsiaTheme="minorEastAsia" w:hAnsi="Times"/>
          <w:kern w:val="0"/>
          <w:szCs w:val="20"/>
          <w:lang w:eastAsia="fr-FR"/>
        </w:rPr>
      </w:pPr>
      <w:r w:rsidRPr="00025B9C">
        <w:rPr>
          <w:rFonts w:ascii="Verdana" w:eastAsiaTheme="minorEastAsia" w:hAnsi="Verdana"/>
          <w:color w:val="000000"/>
          <w:kern w:val="0"/>
          <w:sz w:val="24"/>
          <w:lang w:eastAsia="fr-FR"/>
        </w:rPr>
        <w:t xml:space="preserve">Voici un tableau sur le pourcentage de naissances hors mariage, le taux brut de nuptialité et les divorces pour 1000 habitants dans les différents pays européennes. Clairement, le cadre change d’un pays à l’autre, d’une catégorie à l’autre. La valeur la plus haute à propos de pourcentage de naissances hors mariage est attribuée à la Danemark, en suivant la France et le Royaume-Uni, les trois pays avec une valeur supérieure à 40%. Il faut souligner cet aspect et se demander pour quelle raison ces pourcentages sont plutôt élevés. </w:t>
      </w:r>
    </w:p>
    <w:p w:rsidR="00025B9C" w:rsidRPr="00025B9C" w:rsidRDefault="00025B9C" w:rsidP="00025B9C">
      <w:pPr>
        <w:suppressAutoHyphens w:val="0"/>
        <w:jc w:val="both"/>
        <w:rPr>
          <w:rFonts w:ascii="Times" w:hAnsi="Times"/>
          <w:kern w:val="0"/>
          <w:szCs w:val="20"/>
          <w:lang w:eastAsia="fr-FR"/>
        </w:rPr>
      </w:pPr>
      <w:r w:rsidRPr="00025B9C">
        <w:rPr>
          <w:rFonts w:ascii="Verdana" w:hAnsi="Verdana"/>
          <w:color w:val="000000"/>
          <w:kern w:val="0"/>
          <w:sz w:val="24"/>
          <w:lang w:eastAsia="fr-FR"/>
        </w:rPr>
        <w:t>En parlant de la deuxième catégorie, le taux brut de nuptialité, il y a des valeurs qui vont de 4 à 6 ; la troisième catégorie, au contraire, montre de valeurs plus basse, de 0 à 2.   </w:t>
      </w:r>
    </w:p>
    <w:p w:rsidR="00025B9C" w:rsidRDefault="00025B9C" w:rsidP="00025B9C">
      <w:pPr>
        <w:jc w:val="both"/>
      </w:pPr>
    </w:p>
    <w:sectPr w:rsidR="00025B9C" w:rsidSect="00E657DA">
      <w:pgSz w:w="11900" w:h="16840"/>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9C"/>
    <w:rsid w:val="00025B9C"/>
    <w:rsid w:val="00045469"/>
    <w:rsid w:val="000460C1"/>
    <w:rsid w:val="000D10C8"/>
    <w:rsid w:val="000F53A9"/>
    <w:rsid w:val="0012662C"/>
    <w:rsid w:val="0016271E"/>
    <w:rsid w:val="00286D10"/>
    <w:rsid w:val="002D5E55"/>
    <w:rsid w:val="006012EA"/>
    <w:rsid w:val="007B74BC"/>
    <w:rsid w:val="00962BAD"/>
    <w:rsid w:val="00A12DB0"/>
    <w:rsid w:val="00A9072D"/>
    <w:rsid w:val="00B13FA4"/>
    <w:rsid w:val="00B932C6"/>
    <w:rsid w:val="00BE6BD9"/>
    <w:rsid w:val="00CE7753"/>
    <w:rsid w:val="00DC47A4"/>
    <w:rsid w:val="00E657DA"/>
    <w:rsid w:val="00EE563F"/>
    <w:rsid w:val="00EF5EB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54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AD"/>
    <w:pPr>
      <w:suppressAutoHyphens/>
    </w:pPr>
    <w:rPr>
      <w:rFonts w:eastAsia="Times New Roman"/>
      <w:kern w:val="1"/>
      <w:sz w:val="20"/>
      <w:lang w:eastAsia="ar-SA"/>
    </w:rPr>
  </w:style>
  <w:style w:type="paragraph" w:styleId="Titre2">
    <w:name w:val="heading 2"/>
    <w:basedOn w:val="Normal"/>
    <w:next w:val="Normal"/>
    <w:link w:val="Titre2Car"/>
    <w:uiPriority w:val="9"/>
    <w:unhideWhenUsed/>
    <w:qFormat/>
    <w:rsid w:val="00B932C6"/>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uiPriority w:val="9"/>
    <w:rsid w:val="00B932C6"/>
    <w:rPr>
      <w:rFonts w:eastAsiaTheme="majorEastAsia" w:cstheme="majorBidi"/>
      <w:b/>
      <w:bCs/>
      <w:color w:val="4F81BD" w:themeColor="accent1"/>
      <w:sz w:val="26"/>
      <w:szCs w:val="26"/>
      <w:lang w:eastAsia="fr-FR"/>
    </w:rPr>
  </w:style>
  <w:style w:type="paragraph" w:styleId="Paragraphedeliste">
    <w:name w:val="List Paragraph"/>
    <w:basedOn w:val="Normal"/>
    <w:autoRedefine/>
    <w:uiPriority w:val="34"/>
    <w:qFormat/>
    <w:rsid w:val="00A12DB0"/>
    <w:pPr>
      <w:ind w:left="720"/>
      <w:contextualSpacing/>
    </w:pPr>
    <w:rPr>
      <w:rFonts w:asciiTheme="minorHAnsi" w:eastAsiaTheme="minorEastAsia" w:hAnsiTheme="minorHAnsi" w:cstheme="minorBidi"/>
      <w:sz w:val="16"/>
      <w:szCs w:val="22"/>
      <w:lang w:val="en-US" w:eastAsia="en-US"/>
    </w:rPr>
  </w:style>
  <w:style w:type="character" w:styleId="Rfrenceple">
    <w:name w:val="Subtle Reference"/>
    <w:uiPriority w:val="31"/>
    <w:qFormat/>
    <w:rsid w:val="00A9072D"/>
    <w:rPr>
      <w:rFonts w:ascii="Times New Roman" w:hAnsi="Times New Roman"/>
      <w:sz w:val="24"/>
    </w:rPr>
  </w:style>
  <w:style w:type="paragraph" w:styleId="NormalWeb">
    <w:name w:val="Normal (Web)"/>
    <w:basedOn w:val="Normal"/>
    <w:uiPriority w:val="99"/>
    <w:semiHidden/>
    <w:unhideWhenUsed/>
    <w:rsid w:val="00025B9C"/>
    <w:pPr>
      <w:suppressAutoHyphens w:val="0"/>
      <w:spacing w:before="100" w:beforeAutospacing="1" w:after="100" w:afterAutospacing="1"/>
    </w:pPr>
    <w:rPr>
      <w:rFonts w:ascii="Times" w:eastAsiaTheme="minorEastAsia" w:hAnsi="Times"/>
      <w:kern w:val="0"/>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AD"/>
    <w:pPr>
      <w:suppressAutoHyphens/>
    </w:pPr>
    <w:rPr>
      <w:rFonts w:eastAsia="Times New Roman"/>
      <w:kern w:val="1"/>
      <w:sz w:val="20"/>
      <w:lang w:eastAsia="ar-SA"/>
    </w:rPr>
  </w:style>
  <w:style w:type="paragraph" w:styleId="Titre2">
    <w:name w:val="heading 2"/>
    <w:basedOn w:val="Normal"/>
    <w:next w:val="Normal"/>
    <w:link w:val="Titre2Car"/>
    <w:uiPriority w:val="9"/>
    <w:unhideWhenUsed/>
    <w:qFormat/>
    <w:rsid w:val="00B932C6"/>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autoRedefine/>
    <w:uiPriority w:val="29"/>
    <w:qFormat/>
    <w:rsid w:val="00286D10"/>
    <w:pPr>
      <w:spacing w:before="120"/>
      <w:ind w:left="709" w:right="567"/>
    </w:pPr>
    <w:rPr>
      <w:rFonts w:ascii="Arial Narrow" w:eastAsiaTheme="minorEastAsia" w:hAnsi="Arial Narrow"/>
      <w:i/>
      <w:iCs/>
      <w:color w:val="000000" w:themeColor="text1"/>
      <w:szCs w:val="22"/>
      <w:lang w:eastAsia="ja-JP"/>
    </w:rPr>
  </w:style>
  <w:style w:type="character" w:customStyle="1" w:styleId="CitationCar">
    <w:name w:val="Citation Car"/>
    <w:basedOn w:val="Policepardfaut"/>
    <w:link w:val="Citation"/>
    <w:uiPriority w:val="29"/>
    <w:rsid w:val="00286D10"/>
    <w:rPr>
      <w:rFonts w:ascii="Arial Narrow" w:hAnsi="Arial Narrow"/>
      <w:i/>
      <w:iCs/>
      <w:color w:val="000000" w:themeColor="text1"/>
      <w:sz w:val="22"/>
      <w:szCs w:val="22"/>
    </w:rPr>
  </w:style>
  <w:style w:type="paragraph" w:styleId="Textedebulles">
    <w:name w:val="Balloon Text"/>
    <w:basedOn w:val="Normal"/>
    <w:link w:val="TextedebullesCar"/>
    <w:uiPriority w:val="99"/>
    <w:semiHidden/>
    <w:unhideWhenUsed/>
    <w:rsid w:val="00EE563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E563F"/>
    <w:rPr>
      <w:rFonts w:ascii="Lucida Grande" w:eastAsia="Times New Roman" w:hAnsi="Lucida Grande" w:cs="Lucida Grande"/>
      <w:sz w:val="18"/>
      <w:szCs w:val="18"/>
      <w:lang w:eastAsia="fr-FR"/>
    </w:rPr>
  </w:style>
  <w:style w:type="paragraph" w:styleId="Titre">
    <w:name w:val="Title"/>
    <w:basedOn w:val="Normal"/>
    <w:next w:val="Normal"/>
    <w:link w:val="TitreCar"/>
    <w:uiPriority w:val="10"/>
    <w:qFormat/>
    <w:rsid w:val="00B932C6"/>
    <w:pPr>
      <w:pBdr>
        <w:bottom w:val="single" w:sz="8" w:space="4" w:color="4F81BD" w:themeColor="accent1"/>
      </w:pBdr>
      <w:spacing w:after="300"/>
      <w:contextualSpacing/>
    </w:pPr>
    <w:rPr>
      <w:rFonts w:eastAsiaTheme="majorEastAsia" w:cstheme="majorBidi"/>
      <w:color w:val="17365D" w:themeColor="text2" w:themeShade="BF"/>
      <w:spacing w:val="5"/>
      <w:kern w:val="28"/>
      <w:sz w:val="26"/>
      <w:szCs w:val="52"/>
    </w:rPr>
  </w:style>
  <w:style w:type="character" w:customStyle="1" w:styleId="TitreCar">
    <w:name w:val="Titre Car"/>
    <w:basedOn w:val="Policepardfaut"/>
    <w:link w:val="Titre"/>
    <w:uiPriority w:val="10"/>
    <w:rsid w:val="00B932C6"/>
    <w:rPr>
      <w:rFonts w:eastAsiaTheme="majorEastAsia" w:cstheme="majorBidi"/>
      <w:color w:val="17365D" w:themeColor="text2" w:themeShade="BF"/>
      <w:spacing w:val="5"/>
      <w:kern w:val="28"/>
      <w:sz w:val="26"/>
      <w:szCs w:val="52"/>
      <w:lang w:eastAsia="fr-FR"/>
    </w:rPr>
  </w:style>
  <w:style w:type="character" w:customStyle="1" w:styleId="Titre2Car">
    <w:name w:val="Titre 2 Car"/>
    <w:basedOn w:val="Policepardfaut"/>
    <w:link w:val="Titre2"/>
    <w:uiPriority w:val="9"/>
    <w:rsid w:val="00B932C6"/>
    <w:rPr>
      <w:rFonts w:eastAsiaTheme="majorEastAsia" w:cstheme="majorBidi"/>
      <w:b/>
      <w:bCs/>
      <w:color w:val="4F81BD" w:themeColor="accent1"/>
      <w:sz w:val="26"/>
      <w:szCs w:val="26"/>
      <w:lang w:eastAsia="fr-FR"/>
    </w:rPr>
  </w:style>
  <w:style w:type="paragraph" w:styleId="Paragraphedeliste">
    <w:name w:val="List Paragraph"/>
    <w:basedOn w:val="Normal"/>
    <w:autoRedefine/>
    <w:uiPriority w:val="34"/>
    <w:qFormat/>
    <w:rsid w:val="00A12DB0"/>
    <w:pPr>
      <w:ind w:left="720"/>
      <w:contextualSpacing/>
    </w:pPr>
    <w:rPr>
      <w:rFonts w:asciiTheme="minorHAnsi" w:eastAsiaTheme="minorEastAsia" w:hAnsiTheme="minorHAnsi" w:cstheme="minorBidi"/>
      <w:sz w:val="16"/>
      <w:szCs w:val="22"/>
      <w:lang w:val="en-US" w:eastAsia="en-US"/>
    </w:rPr>
  </w:style>
  <w:style w:type="character" w:styleId="Rfrenceple">
    <w:name w:val="Subtle Reference"/>
    <w:uiPriority w:val="31"/>
    <w:qFormat/>
    <w:rsid w:val="00A9072D"/>
    <w:rPr>
      <w:rFonts w:ascii="Times New Roman" w:hAnsi="Times New Roman"/>
      <w:sz w:val="24"/>
    </w:rPr>
  </w:style>
  <w:style w:type="paragraph" w:styleId="NormalWeb">
    <w:name w:val="Normal (Web)"/>
    <w:basedOn w:val="Normal"/>
    <w:uiPriority w:val="99"/>
    <w:semiHidden/>
    <w:unhideWhenUsed/>
    <w:rsid w:val="00025B9C"/>
    <w:pPr>
      <w:suppressAutoHyphens w:val="0"/>
      <w:spacing w:before="100" w:beforeAutospacing="1" w:after="100" w:afterAutospacing="1"/>
    </w:pPr>
    <w:rPr>
      <w:rFonts w:ascii="Times" w:eastAsiaTheme="minorEastAsia" w:hAnsi="Times"/>
      <w:kern w:val="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70252">
      <w:bodyDiv w:val="1"/>
      <w:marLeft w:val="0"/>
      <w:marRight w:val="0"/>
      <w:marTop w:val="0"/>
      <w:marBottom w:val="0"/>
      <w:divBdr>
        <w:top w:val="none" w:sz="0" w:space="0" w:color="auto"/>
        <w:left w:val="none" w:sz="0" w:space="0" w:color="auto"/>
        <w:bottom w:val="none" w:sz="0" w:space="0" w:color="auto"/>
        <w:right w:val="none" w:sz="0" w:space="0" w:color="auto"/>
      </w:divBdr>
      <w:divsChild>
        <w:div w:id="1666861285">
          <w:marLeft w:val="0"/>
          <w:marRight w:val="0"/>
          <w:marTop w:val="0"/>
          <w:marBottom w:val="0"/>
          <w:divBdr>
            <w:top w:val="none" w:sz="0" w:space="0" w:color="auto"/>
            <w:left w:val="none" w:sz="0" w:space="0" w:color="auto"/>
            <w:bottom w:val="none" w:sz="0" w:space="0" w:color="auto"/>
            <w:right w:val="none" w:sz="0" w:space="0" w:color="auto"/>
          </w:divBdr>
        </w:div>
      </w:divsChild>
    </w:div>
    <w:div w:id="1423262951">
      <w:bodyDiv w:val="1"/>
      <w:marLeft w:val="0"/>
      <w:marRight w:val="0"/>
      <w:marTop w:val="0"/>
      <w:marBottom w:val="0"/>
      <w:divBdr>
        <w:top w:val="none" w:sz="0" w:space="0" w:color="auto"/>
        <w:left w:val="none" w:sz="0" w:space="0" w:color="auto"/>
        <w:bottom w:val="none" w:sz="0" w:space="0" w:color="auto"/>
        <w:right w:val="none" w:sz="0" w:space="0" w:color="auto"/>
      </w:divBdr>
      <w:divsChild>
        <w:div w:id="962465219">
          <w:marLeft w:val="0"/>
          <w:marRight w:val="0"/>
          <w:marTop w:val="0"/>
          <w:marBottom w:val="160"/>
          <w:divBdr>
            <w:top w:val="none" w:sz="0" w:space="0" w:color="auto"/>
            <w:left w:val="none" w:sz="0" w:space="0" w:color="auto"/>
            <w:bottom w:val="none" w:sz="0" w:space="0" w:color="auto"/>
            <w:right w:val="none" w:sz="0" w:space="0" w:color="auto"/>
          </w:divBdr>
        </w:div>
        <w:div w:id="1889026668">
          <w:marLeft w:val="0"/>
          <w:marRight w:val="0"/>
          <w:marTop w:val="0"/>
          <w:marBottom w:val="16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863</Words>
  <Characters>4751</Characters>
  <Application>Microsoft Macintosh Word</Application>
  <DocSecurity>0</DocSecurity>
  <Lines>39</Lines>
  <Paragraphs>11</Paragraphs>
  <ScaleCrop>false</ScaleCrop>
  <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Galisson</dc:creator>
  <cp:keywords/>
  <dc:description/>
  <cp:lastModifiedBy>Olivia Galisson</cp:lastModifiedBy>
  <cp:revision>1</cp:revision>
  <dcterms:created xsi:type="dcterms:W3CDTF">2016-11-02T12:36:00Z</dcterms:created>
  <dcterms:modified xsi:type="dcterms:W3CDTF">2016-11-02T12:43:00Z</dcterms:modified>
</cp:coreProperties>
</file>