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6" w:rsidRDefault="00281CAE" w:rsidP="00281CAE">
      <w:pPr>
        <w:jc w:val="center"/>
        <w:rPr>
          <w:b/>
          <w:sz w:val="32"/>
          <w:szCs w:val="32"/>
        </w:rPr>
      </w:pPr>
      <w:r w:rsidRPr="00281CAE">
        <w:rPr>
          <w:b/>
          <w:sz w:val="32"/>
          <w:szCs w:val="32"/>
        </w:rPr>
        <w:t xml:space="preserve">Test su analgesici oppioidi , antidepressivi , </w:t>
      </w:r>
      <w:proofErr w:type="spellStart"/>
      <w:r w:rsidRPr="00281CAE">
        <w:rPr>
          <w:b/>
          <w:sz w:val="32"/>
          <w:szCs w:val="32"/>
        </w:rPr>
        <w:t>benzodiazepine</w:t>
      </w:r>
      <w:proofErr w:type="spellEnd"/>
    </w:p>
    <w:p w:rsidR="00281CAE" w:rsidRDefault="00281CAE" w:rsidP="00281CAE">
      <w:pPr>
        <w:jc w:val="center"/>
        <w:rPr>
          <w:b/>
          <w:sz w:val="32"/>
          <w:szCs w:val="32"/>
        </w:rPr>
      </w:pPr>
    </w:p>
    <w:p w:rsidR="00281CAE" w:rsidRDefault="009F2DA0" w:rsidP="00281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CAE" w:rsidRPr="00281CAE">
        <w:rPr>
          <w:rFonts w:ascii="Times New Roman" w:hAnsi="Times New Roman" w:cs="Times New Roman"/>
          <w:sz w:val="24"/>
          <w:szCs w:val="24"/>
        </w:rPr>
        <w:t xml:space="preserve">Gli analgesici oppioidi </w:t>
      </w:r>
      <w:r w:rsidR="00281CAE">
        <w:rPr>
          <w:rFonts w:ascii="Times New Roman" w:hAnsi="Times New Roman" w:cs="Times New Roman"/>
          <w:sz w:val="24"/>
          <w:szCs w:val="24"/>
        </w:rPr>
        <w:t>determinano i loro effetti farmacologici: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Agendo come agonisti dei recettori degli oppioidi endogeni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Agendo come antagonisti degli oppioidi endogeni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Agendo direttamente sui neuroni in aree del cervello e del midollo spinale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Inibendo la </w:t>
      </w:r>
      <w:proofErr w:type="spellStart"/>
      <w:r w:rsidR="009F2DA0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captazione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serotonina</w:t>
      </w:r>
    </w:p>
    <w:p w:rsidR="00281CAE" w:rsidRDefault="00281CAE" w:rsidP="00281C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Favorendo l’azione del GABA</w:t>
      </w:r>
    </w:p>
    <w:p w:rsidR="00281CAE" w:rsidRDefault="009F2DA0" w:rsidP="00281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1CAE">
        <w:rPr>
          <w:rFonts w:ascii="Times New Roman" w:hAnsi="Times New Roman" w:cs="Times New Roman"/>
          <w:sz w:val="24"/>
          <w:szCs w:val="24"/>
        </w:rPr>
        <w:t xml:space="preserve">La morfina determina tutti i seguenti effetti </w:t>
      </w:r>
      <w:r w:rsidR="00281CAE" w:rsidRPr="00281CAE">
        <w:rPr>
          <w:rFonts w:ascii="Times New Roman" w:hAnsi="Times New Roman" w:cs="Times New Roman"/>
          <w:b/>
          <w:sz w:val="24"/>
          <w:szCs w:val="24"/>
        </w:rPr>
        <w:t>tranne</w:t>
      </w:r>
      <w:r w:rsidR="00281CAE">
        <w:rPr>
          <w:rFonts w:ascii="Times New Roman" w:hAnsi="Times New Roman" w:cs="Times New Roman"/>
          <w:b/>
          <w:sz w:val="24"/>
          <w:szCs w:val="24"/>
        </w:rPr>
        <w:t>: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Stipsi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Midriasi</w:t>
      </w:r>
    </w:p>
    <w:p w:rsidR="00281CAE" w:rsidRDefault="00281CAE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Inibizione della tosse</w:t>
      </w:r>
    </w:p>
    <w:p w:rsidR="00281CAE" w:rsidRDefault="006F5817" w:rsidP="00281CA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Contrazione dello sfintere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Oddi</w:t>
      </w:r>
      <w:proofErr w:type="spellEnd"/>
    </w:p>
    <w:p w:rsidR="006F5817" w:rsidRDefault="009F2DA0" w:rsidP="006F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5817">
        <w:rPr>
          <w:rFonts w:ascii="Times New Roman" w:hAnsi="Times New Roman" w:cs="Times New Roman"/>
          <w:sz w:val="24"/>
          <w:szCs w:val="24"/>
        </w:rPr>
        <w:t>Il metadone: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effetti analoghi alla morfina ma è caratterizzato da emivita più breve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effetti analoghi alla morfina ma è caratterizzato da emivita più lunga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poco  indicato nella disassuefazione da oppioidi per le sue caratteristiche farmacocinetiche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può essere somministrato per via orale per un elevato effetto da primo passaggio</w:t>
      </w:r>
    </w:p>
    <w:p w:rsidR="006F5817" w:rsidRDefault="006F5817" w:rsidP="006F58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suo uso è limitato alla trattamento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preanestetico</w:t>
      </w:r>
      <w:proofErr w:type="spellEnd"/>
    </w:p>
    <w:p w:rsidR="006F5817" w:rsidRDefault="009F2DA0" w:rsidP="006F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</w:t>
      </w:r>
      <w:r w:rsidR="00682856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682856">
        <w:rPr>
          <w:rFonts w:ascii="Times New Roman" w:hAnsi="Times New Roman" w:cs="Times New Roman"/>
          <w:sz w:val="24"/>
          <w:szCs w:val="24"/>
        </w:rPr>
        <w:t>tramadolo</w:t>
      </w:r>
      <w:proofErr w:type="spellEnd"/>
      <w:r w:rsidR="00682856">
        <w:rPr>
          <w:rFonts w:ascii="Times New Roman" w:hAnsi="Times New Roman" w:cs="Times New Roman"/>
          <w:sz w:val="24"/>
          <w:szCs w:val="24"/>
        </w:rPr>
        <w:t xml:space="preserve"> è: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oppioide debole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oppioide forte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9F2DA0">
        <w:rPr>
          <w:rFonts w:ascii="Times New Roman" w:hAnsi="Times New Roman" w:cs="Times New Roman"/>
          <w:sz w:val="24"/>
          <w:szCs w:val="24"/>
        </w:rPr>
        <w:t>oppioide con attività agonista</w:t>
      </w:r>
      <w:r>
        <w:rPr>
          <w:rFonts w:ascii="Times New Roman" w:hAnsi="Times New Roman" w:cs="Times New Roman"/>
          <w:sz w:val="24"/>
          <w:szCs w:val="24"/>
        </w:rPr>
        <w:t>–antagonista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antagonista degli oppioidi</w:t>
      </w:r>
    </w:p>
    <w:p w:rsidR="00682856" w:rsidRDefault="00682856" w:rsidP="0068285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oppioide debole con maggiore controllo  del dolore neuropatico</w:t>
      </w:r>
    </w:p>
    <w:p w:rsidR="00682856" w:rsidRDefault="009F2DA0" w:rsidP="0068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82856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682856">
        <w:rPr>
          <w:rFonts w:ascii="Times New Roman" w:hAnsi="Times New Roman" w:cs="Times New Roman"/>
          <w:sz w:val="24"/>
          <w:szCs w:val="24"/>
        </w:rPr>
        <w:t>nalossone</w:t>
      </w:r>
      <w:proofErr w:type="spellEnd"/>
      <w:r w:rsidR="00682856">
        <w:rPr>
          <w:rFonts w:ascii="Times New Roman" w:hAnsi="Times New Roman" w:cs="Times New Roman"/>
          <w:sz w:val="24"/>
          <w:szCs w:val="24"/>
        </w:rPr>
        <w:t xml:space="preserve"> è un: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Agonista forte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antagonista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capace di contrastare gli effetti della morfina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agonista debole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</w:p>
    <w:p w:rsidR="00682856" w:rsidRDefault="00682856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agonista forte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attivo solo dopo somministrazione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</w:p>
    <w:p w:rsidR="00682856" w:rsidRDefault="00F7775A" w:rsidP="00682856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agonista forte del recettore </w:t>
      </w:r>
      <w:r w:rsidRPr="00F7775A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 attivo solo dopo somministrazione </w:t>
      </w:r>
      <w:proofErr w:type="spellStart"/>
      <w:r w:rsidR="009F2DA0">
        <w:rPr>
          <w:rFonts w:ascii="Times New Roman" w:hAnsi="Times New Roman" w:cs="Times New Roman"/>
          <w:sz w:val="24"/>
          <w:szCs w:val="24"/>
        </w:rPr>
        <w:t>transdermica</w:t>
      </w:r>
      <w:proofErr w:type="spellEnd"/>
    </w:p>
    <w:p w:rsidR="009F2DA0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A0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A0" w:rsidRPr="009F2DA0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CAE" w:rsidRDefault="009F2DA0" w:rsidP="009F2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6.Il meccanismo d’azione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consiste: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facilitare l’attivazione  dei recettori di tipo A del  GABA</w:t>
      </w:r>
      <w:r w:rsidR="00027745">
        <w:rPr>
          <w:rFonts w:ascii="Times New Roman" w:hAnsi="Times New Roman" w:cs="Times New Roman"/>
          <w:sz w:val="24"/>
          <w:szCs w:val="24"/>
        </w:rPr>
        <w:t xml:space="preserve"> da parte dello stesso neurotrasmettitore 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Nell’inibire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reuptake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neuronale del GABA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Nell’inibire  il catabolismo del GABA</w:t>
      </w:r>
    </w:p>
    <w:p w:rsidR="009F2DA0" w:rsidRDefault="009F2DA0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745">
        <w:rPr>
          <w:rFonts w:ascii="Times New Roman" w:hAnsi="Times New Roman" w:cs="Times New Roman"/>
          <w:sz w:val="24"/>
          <w:szCs w:val="24"/>
        </w:rPr>
        <w:t>Nell’attivare direttamente il recettore A del GABA</w:t>
      </w:r>
    </w:p>
    <w:p w:rsidR="00027745" w:rsidRDefault="00027745" w:rsidP="009F2DA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favorire la liberazione del GABA a livello delle sinapsi</w:t>
      </w:r>
    </w:p>
    <w:p w:rsidR="00027745" w:rsidRDefault="00027745" w:rsidP="0002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La somministrazione prolungata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può indurre: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Convulsioni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Ipertensione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Disturbi motori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Tolleranza e dipendenza</w:t>
      </w:r>
    </w:p>
    <w:p w:rsidR="00027745" w:rsidRDefault="00027745" w:rsidP="0002774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 d’ansia</w:t>
      </w:r>
    </w:p>
    <w:p w:rsidR="00027745" w:rsidRDefault="00027745" w:rsidP="0002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8.Le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differenziano a livello di:</w:t>
      </w:r>
    </w:p>
    <w:p w:rsidR="00027745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Meccanismo d’azione</w:t>
      </w:r>
    </w:p>
    <w:p w:rsidR="00027745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Emivita</w:t>
      </w:r>
    </w:p>
    <w:p w:rsidR="00027745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di somministrazione</w:t>
      </w:r>
    </w:p>
    <w:p w:rsidR="00E33307" w:rsidRDefault="00027745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di escrezione</w:t>
      </w:r>
    </w:p>
    <w:p w:rsidR="00E33307" w:rsidRDefault="00E33307" w:rsidP="0002774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Reazioni avverse</w:t>
      </w:r>
    </w:p>
    <w:p w:rsidR="00E33307" w:rsidRDefault="00E33307" w:rsidP="00E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9.Il </w:t>
      </w:r>
      <w:proofErr w:type="spellStart"/>
      <w:r>
        <w:rPr>
          <w:rFonts w:ascii="Times New Roman" w:hAnsi="Times New Roman" w:cs="Times New Roman"/>
          <w:sz w:val="24"/>
          <w:szCs w:val="24"/>
        </w:rPr>
        <w:t>flumazenil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è: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utilizzata principalmente come anticonvulsivante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antagonista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emivita lunga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antagonista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emivita breve (1 ora)</w:t>
      </w:r>
    </w:p>
    <w:p w:rsidR="00E33307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utilizzata generalmente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ipnoinducente</w:t>
      </w:r>
      <w:proofErr w:type="spellEnd"/>
    </w:p>
    <w:p w:rsidR="00027745" w:rsidRDefault="00E33307" w:rsidP="00E3330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58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="00C94958">
        <w:rPr>
          <w:rFonts w:ascii="Times New Roman" w:hAnsi="Times New Roman" w:cs="Times New Roman"/>
          <w:sz w:val="24"/>
          <w:szCs w:val="24"/>
        </w:rPr>
        <w:t>benzodiazepina</w:t>
      </w:r>
      <w:proofErr w:type="spellEnd"/>
      <w:r w:rsidR="00C94958">
        <w:rPr>
          <w:rFonts w:ascii="Times New Roman" w:hAnsi="Times New Roman" w:cs="Times New Roman"/>
          <w:sz w:val="24"/>
          <w:szCs w:val="24"/>
        </w:rPr>
        <w:t xml:space="preserve"> utilizzata generalmente per il controllo degli attacchi di panico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Nel paziente anziano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possono determinare: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Ipertensione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Aritmie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Confusione e amnesia anterograda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Miosi</w:t>
      </w:r>
    </w:p>
    <w:p w:rsidR="00C94958" w:rsidRDefault="00C94958" w:rsidP="00C94958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Xerostomia</w:t>
      </w: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58" w:rsidRDefault="00C94958" w:rsidP="00C94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possono trovare impiego come: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Miorilassanti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Anticonvulsivanti 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Ansiolitici</w:t>
      </w:r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Ipnoinducenti</w:t>
      </w:r>
      <w:proofErr w:type="spellEnd"/>
    </w:p>
    <w:p w:rsidR="00C94958" w:rsidRDefault="00C94958" w:rsidP="00C94958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</w:t>
      </w:r>
      <w:r w:rsidR="00363D1C">
        <w:rPr>
          <w:rFonts w:ascii="Times New Roman" w:hAnsi="Times New Roman" w:cs="Times New Roman"/>
          <w:sz w:val="24"/>
          <w:szCs w:val="24"/>
        </w:rPr>
        <w:t>i precedenti</w:t>
      </w:r>
    </w:p>
    <w:p w:rsidR="00363D1C" w:rsidRDefault="00363D1C" w:rsidP="00363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Il meccanismo d’azione degli antidepressivi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triciclici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dovuto ha: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Stimolazione dei recettori muscarinici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Blocco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reuptake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noradrenalina e serotonina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Antagonismo competitivo dei recettori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adrenergici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Effetto stabilizzante le membrane neuronali</w:t>
      </w:r>
    </w:p>
    <w:p w:rsidR="00363D1C" w:rsidRDefault="00363D1C" w:rsidP="00363D1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Blocco della sintesi di dopamina</w:t>
      </w:r>
    </w:p>
    <w:p w:rsidR="00363D1C" w:rsidRDefault="00D05B10" w:rsidP="00363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63D1C">
        <w:rPr>
          <w:rFonts w:ascii="Times New Roman" w:hAnsi="Times New Roman" w:cs="Times New Roman"/>
          <w:sz w:val="24"/>
          <w:szCs w:val="24"/>
        </w:rPr>
        <w:t>I più comuni effetti collaterali de</w:t>
      </w:r>
      <w:r w:rsidR="00311242">
        <w:rPr>
          <w:rFonts w:ascii="Times New Roman" w:hAnsi="Times New Roman" w:cs="Times New Roman"/>
          <w:sz w:val="24"/>
          <w:szCs w:val="24"/>
        </w:rPr>
        <w:t>g</w:t>
      </w:r>
      <w:r w:rsidR="00363D1C">
        <w:rPr>
          <w:rFonts w:ascii="Times New Roman" w:hAnsi="Times New Roman" w:cs="Times New Roman"/>
          <w:sz w:val="24"/>
          <w:szCs w:val="24"/>
        </w:rPr>
        <w:t xml:space="preserve">li antidepressivi </w:t>
      </w:r>
      <w:proofErr w:type="spellStart"/>
      <w:r w:rsidR="00363D1C">
        <w:rPr>
          <w:rFonts w:ascii="Times New Roman" w:hAnsi="Times New Roman" w:cs="Times New Roman"/>
          <w:sz w:val="24"/>
          <w:szCs w:val="24"/>
        </w:rPr>
        <w:t>triciclici</w:t>
      </w:r>
      <w:proofErr w:type="spellEnd"/>
      <w:r w:rsidR="00363D1C">
        <w:rPr>
          <w:rFonts w:ascii="Times New Roman" w:hAnsi="Times New Roman" w:cs="Times New Roman"/>
          <w:sz w:val="24"/>
          <w:szCs w:val="24"/>
        </w:rPr>
        <w:t xml:space="preserve"> sono di tipo:</w:t>
      </w:r>
    </w:p>
    <w:p w:rsidR="00363D1C" w:rsidRDefault="00311242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Agonista </w:t>
      </w:r>
      <w:proofErr w:type="spellStart"/>
      <w:r w:rsidR="00363D1C">
        <w:rPr>
          <w:rFonts w:ascii="Times New Roman" w:hAnsi="Times New Roman" w:cs="Times New Roman"/>
          <w:sz w:val="24"/>
          <w:szCs w:val="24"/>
        </w:rPr>
        <w:t>Istaminergico</w:t>
      </w:r>
      <w:proofErr w:type="spellEnd"/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Agonista colinergico</w:t>
      </w:r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Antagonista colinergico</w:t>
      </w:r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Antidopaminergico</w:t>
      </w:r>
      <w:proofErr w:type="spellEnd"/>
    </w:p>
    <w:p w:rsidR="00363D1C" w:rsidRDefault="00363D1C" w:rsidP="00363D1C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GABA-mimetico</w:t>
      </w:r>
      <w:proofErr w:type="spellEnd"/>
    </w:p>
    <w:p w:rsidR="00311242" w:rsidRDefault="00D05B10" w:rsidP="00311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11242">
        <w:rPr>
          <w:rFonts w:ascii="Times New Roman" w:hAnsi="Times New Roman" w:cs="Times New Roman"/>
          <w:sz w:val="24"/>
          <w:szCs w:val="24"/>
        </w:rPr>
        <w:t xml:space="preserve">In generale i farmaci antidepressivi esercitano un </w:t>
      </w:r>
      <w:r>
        <w:rPr>
          <w:rFonts w:ascii="Times New Roman" w:hAnsi="Times New Roman" w:cs="Times New Roman"/>
          <w:sz w:val="24"/>
          <w:szCs w:val="24"/>
        </w:rPr>
        <w:t xml:space="preserve">buon </w:t>
      </w:r>
      <w:r w:rsidR="00311242">
        <w:rPr>
          <w:rFonts w:ascii="Times New Roman" w:hAnsi="Times New Roman" w:cs="Times New Roman"/>
          <w:sz w:val="24"/>
          <w:szCs w:val="24"/>
        </w:rPr>
        <w:t xml:space="preserve">controllo della patologia dopo: 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giorni 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settimane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mesi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settimane</w:t>
      </w:r>
    </w:p>
    <w:p w:rsidR="00D05B10" w:rsidRDefault="00D05B10" w:rsidP="00D05B1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anno</w:t>
      </w:r>
    </w:p>
    <w:p w:rsidR="00D05B10" w:rsidRDefault="00D05B10" w:rsidP="00D05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15.I principali effetti indesiderati degli inibitori selettivi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ricaptazione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serotonina sono: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cardiocircolatorio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respiratorio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urinario</w:t>
      </w:r>
    </w:p>
    <w:p w:rsid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Nausea, anoressia, insonnia, disfunzioni sessuali</w:t>
      </w:r>
    </w:p>
    <w:p w:rsidR="00D05B10" w:rsidRPr="00D05B10" w:rsidRDefault="00D05B10" w:rsidP="00D05B10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 sistema colinergico</w:t>
      </w:r>
    </w:p>
    <w:p w:rsidR="00D05B10" w:rsidRPr="00D05B10" w:rsidRDefault="00D05B10" w:rsidP="00D05B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B10" w:rsidRPr="00D05B10" w:rsidSect="00AC6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DD6"/>
    <w:multiLevelType w:val="hybridMultilevel"/>
    <w:tmpl w:val="DD5C98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1EB"/>
    <w:multiLevelType w:val="hybridMultilevel"/>
    <w:tmpl w:val="90908F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5A9E"/>
    <w:multiLevelType w:val="hybridMultilevel"/>
    <w:tmpl w:val="595456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6DCE"/>
    <w:multiLevelType w:val="hybridMultilevel"/>
    <w:tmpl w:val="8522EE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4EAE"/>
    <w:multiLevelType w:val="hybridMultilevel"/>
    <w:tmpl w:val="422606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DCE"/>
    <w:multiLevelType w:val="hybridMultilevel"/>
    <w:tmpl w:val="3AE6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518B"/>
    <w:multiLevelType w:val="hybridMultilevel"/>
    <w:tmpl w:val="34AC06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3620"/>
    <w:multiLevelType w:val="hybridMultilevel"/>
    <w:tmpl w:val="40A0973A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48743C32"/>
    <w:multiLevelType w:val="hybridMultilevel"/>
    <w:tmpl w:val="2196D5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13D4"/>
    <w:multiLevelType w:val="hybridMultilevel"/>
    <w:tmpl w:val="BD5C14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0454F"/>
    <w:multiLevelType w:val="hybridMultilevel"/>
    <w:tmpl w:val="79DC5E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728C"/>
    <w:multiLevelType w:val="hybridMultilevel"/>
    <w:tmpl w:val="4B52D9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64D07"/>
    <w:multiLevelType w:val="hybridMultilevel"/>
    <w:tmpl w:val="8CAC3D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4CFE"/>
    <w:multiLevelType w:val="hybridMultilevel"/>
    <w:tmpl w:val="EDA6C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152D1"/>
    <w:multiLevelType w:val="hybridMultilevel"/>
    <w:tmpl w:val="AC420104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57870CA"/>
    <w:multiLevelType w:val="hybridMultilevel"/>
    <w:tmpl w:val="65725F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C6354"/>
    <w:multiLevelType w:val="hybridMultilevel"/>
    <w:tmpl w:val="D1A2CA16"/>
    <w:lvl w:ilvl="0" w:tplc="04100019">
      <w:start w:val="1"/>
      <w:numFmt w:val="lowerLetter"/>
      <w:lvlText w:val="%1."/>
      <w:lvlJc w:val="left"/>
      <w:pPr>
        <w:ind w:left="1503" w:hanging="360"/>
      </w:p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772C27FF"/>
    <w:multiLevelType w:val="hybridMultilevel"/>
    <w:tmpl w:val="5046E734"/>
    <w:lvl w:ilvl="0" w:tplc="04100019">
      <w:start w:val="1"/>
      <w:numFmt w:val="lowerLetter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E415C0C"/>
    <w:multiLevelType w:val="hybridMultilevel"/>
    <w:tmpl w:val="E26271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  <w:num w:numId="16">
    <w:abstractNumId w:val="15"/>
  </w:num>
  <w:num w:numId="17">
    <w:abstractNumId w:val="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281CAE"/>
    <w:rsid w:val="00027745"/>
    <w:rsid w:val="00281CAE"/>
    <w:rsid w:val="00311242"/>
    <w:rsid w:val="00363D1C"/>
    <w:rsid w:val="00682856"/>
    <w:rsid w:val="006F5817"/>
    <w:rsid w:val="009F2DA0"/>
    <w:rsid w:val="00AC6AE6"/>
    <w:rsid w:val="00C94958"/>
    <w:rsid w:val="00D05B10"/>
    <w:rsid w:val="00E33307"/>
    <w:rsid w:val="00F7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2022-01-23T21:21:00Z</dcterms:created>
  <dcterms:modified xsi:type="dcterms:W3CDTF">2022-01-23T21:21:00Z</dcterms:modified>
</cp:coreProperties>
</file>