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679" w:type="pct"/>
        <w:tblLayout w:type="fixed"/>
        <w:tblLook w:val="04A0" w:firstRow="1" w:lastRow="0" w:firstColumn="1" w:lastColumn="0" w:noHBand="0" w:noVBand="1"/>
      </w:tblPr>
      <w:tblGrid>
        <w:gridCol w:w="655"/>
        <w:gridCol w:w="658"/>
        <w:gridCol w:w="6587"/>
        <w:gridCol w:w="3477"/>
      </w:tblGrid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N. Ore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Data incontro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Argomento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b/>
                <w:sz w:val="24"/>
                <w:szCs w:val="24"/>
                <w:lang w:val="it-IT"/>
              </w:rPr>
              <w:t>Materiale</w:t>
            </w: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3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27/2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Introduzione al corso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I Parte</w:t>
            </w:r>
          </w:p>
        </w:tc>
        <w:tc>
          <w:tcPr>
            <w:tcW w:w="1528" w:type="pct"/>
          </w:tcPr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bookmarkStart w:id="0" w:name="OLE_LINK1"/>
            <w:bookmarkStart w:id="1" w:name="OLE_LINK2"/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 xml:space="preserve">Nosari S., </w:t>
            </w:r>
            <w:r w:rsidRPr="00D419CA">
              <w:rPr>
                <w:rFonts w:ascii="Arial Narrow" w:hAnsi="Arial Narrow"/>
                <w:i/>
                <w:sz w:val="24"/>
                <w:szCs w:val="24"/>
                <w:lang w:val="it-IT"/>
              </w:rPr>
              <w:t>Capire l’educazione. Lessico, contesti, scenari</w:t>
            </w: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, Milano, Mondadori, 2013 le seguenti voci:</w:t>
            </w:r>
          </w:p>
          <w:bookmarkEnd w:id="0"/>
          <w:bookmarkEnd w:id="1"/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Cambiamento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Processo educativo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Fine/Obiettivo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Educazione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Animazione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Sentimento/Cura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Relazione educativa</w:t>
            </w:r>
          </w:p>
          <w:p w:rsidR="00D419CA" w:rsidRPr="00D419CA" w:rsidRDefault="00D419CA" w:rsidP="00D419C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Progettualità/Progetto</w:t>
            </w:r>
          </w:p>
          <w:p w:rsidR="00D419CA" w:rsidRPr="008F57E6" w:rsidRDefault="00D419CA" w:rsidP="00D419CA">
            <w:pPr>
              <w:rPr>
                <w:sz w:val="24"/>
                <w:szCs w:val="24"/>
              </w:rPr>
            </w:pPr>
            <w:r w:rsidRPr="00D419CA">
              <w:rPr>
                <w:rFonts w:ascii="Arial Narrow" w:hAnsi="Arial Narrow"/>
                <w:sz w:val="24"/>
                <w:szCs w:val="24"/>
                <w:lang w:val="it-IT"/>
              </w:rPr>
              <w:t>Metodologia educativa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03BE7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6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28/2</w:t>
            </w:r>
          </w:p>
        </w:tc>
        <w:tc>
          <w:tcPr>
            <w:tcW w:w="2895" w:type="pct"/>
          </w:tcPr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14D14">
              <w:rPr>
                <w:rFonts w:ascii="Arial Narrow" w:hAnsi="Arial Narrow"/>
                <w:sz w:val="24"/>
                <w:szCs w:val="24"/>
              </w:rPr>
              <w:t xml:space="preserve">Educazione ed educare: concetti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multiprospettici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II Parte</w:t>
            </w:r>
          </w:p>
          <w:p w:rsidR="00D419CA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</w:p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I giardini di Abele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http://www.deistituzionalizzazione-trieste.it/videogallery/VideoSourceITA.html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Franco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LA DISTRUZIONE DELL’OSPEDALE PSICHIATRICO COME LUOGO DI ISTITUZIONALIZZAZIONE (Mortificazione e libertà dello “spazio chiuso”, considerazioni sul sistema “open 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door”) </w:t>
            </w:r>
            <w:hyperlink r:id="rId4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http://www.triestesalutementale.it/letteratura/testi/35distr.htm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Legge 13 maggio 1978, n. 180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" Accertamenti e trattamenti sanitari volontari e obbligatori "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pubblicata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nella Gazzetta Ufficiale 16 maggio 1978, n. 133.</w:t>
            </w:r>
          </w:p>
          <w:p w:rsidR="00D419CA" w:rsidRPr="00114D14" w:rsidRDefault="00E046F3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5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http://www.salute.gov.it/imgs/C_17_normativa_888_allegato.pdf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 G. Dell'Acqua, (Da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Italianieuropei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nr. 2/2009) </w:t>
            </w:r>
            <w:hyperlink r:id="rId6" w:tgtFrame="_blank" w:history="1">
              <w:r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I luoghi della cura: buone e cattive pratiche</w:t>
              </w:r>
            </w:hyperlink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 (.doc)</w:t>
            </w:r>
          </w:p>
          <w:p w:rsidR="00D419CA" w:rsidRPr="00114D14" w:rsidRDefault="00E046F3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7" w:history="1">
              <w:r w:rsidR="00D419CA" w:rsidRPr="00114D14">
                <w:rPr>
                  <w:rStyle w:val="Collegamentoipertestuale"/>
                  <w:rFonts w:ascii="Arial Narrow" w:hAnsi="Arial Narrow"/>
                  <w:sz w:val="24"/>
                  <w:szCs w:val="24"/>
                  <w:lang w:val="it-IT"/>
                </w:rPr>
                <w:t>http://www.deistituzionalizzazione-trieste.it/letteratura/Letteratura/I%20luoghi%20della%20cura%20buone%20e%20cattive%20pratiche.doc</w:t>
              </w:r>
            </w:hyperlink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Dell'Acqua, </w:t>
            </w: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G. ,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Rovatti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P.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Scabia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G.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Mezzina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, R. ,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Basaglia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F. Rotelli, F. (2007). </w:t>
            </w:r>
            <w:r w:rsidRPr="00114D14">
              <w:rPr>
                <w:rFonts w:ascii="Arial Narrow" w:hAnsi="Arial Narrow"/>
                <w:i/>
                <w:iCs/>
                <w:sz w:val="24"/>
                <w:szCs w:val="24"/>
                <w:lang w:val="it-IT"/>
              </w:rPr>
              <w:t>Non ho l'arma che uccide il leone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Viterbo Stampa alternativa, Nuovi equilibri.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INTERVISTA A PEPPE DELL’ACQUA: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 xml:space="preserve">LA LEGGE BASAGLIA 30 ANNI DOPO Roberto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Camarlingi</w:t>
            </w:r>
            <w:proofErr w:type="spellEnd"/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http://www.psychiatryonline.it/sites/default/files/Libro180-Articolo3.pdf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03BE7" w:rsidTr="00D419CA">
        <w:trPr>
          <w:trHeight w:val="1023"/>
        </w:trPr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9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6/3</w:t>
            </w:r>
          </w:p>
        </w:tc>
        <w:tc>
          <w:tcPr>
            <w:tcW w:w="2895" w:type="pct"/>
          </w:tcPr>
          <w:p w:rsidR="00D419CA" w:rsidRPr="00114D14" w:rsidRDefault="00D419CA" w:rsidP="0039524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 manicomi e la loro chiusura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 II Parte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03BE7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12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7/3</w:t>
            </w:r>
          </w:p>
        </w:tc>
        <w:tc>
          <w:tcPr>
            <w:tcW w:w="2895" w:type="pct"/>
          </w:tcPr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comunità</w:t>
            </w:r>
            <w:proofErr w:type="gram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, reti sociali e interventi educativi un inquadramento</w:t>
            </w:r>
          </w:p>
        </w:tc>
        <w:tc>
          <w:tcPr>
            <w:tcW w:w="1528" w:type="pct"/>
          </w:tcPr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Donati, P.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Folgheraiter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, F. (1993).</w:t>
            </w:r>
            <w:r w:rsidRPr="00114D14">
              <w:rPr>
                <w:rStyle w:val="apple-converted-space"/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Community </w:t>
            </w:r>
            <w:proofErr w:type="gram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care :</w:t>
            </w:r>
            <w:proofErr w:type="gramEnd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teoria e pratica del lavoro sociale di </w:t>
            </w:r>
            <w:proofErr w:type="spellStart"/>
            <w:r w:rsidRPr="00114D14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shd w:val="clear" w:color="auto" w:fill="FFFFFF"/>
                <w:lang w:val="it-IT"/>
              </w:rPr>
              <w:t>rete.</w:t>
            </w: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Trento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Centro studi </w:t>
            </w:r>
            <w:proofErr w:type="spell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Erickson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proofErr w:type="gramStart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Capp</w:t>
            </w:r>
            <w:proofErr w:type="spell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.:</w:t>
            </w:r>
            <w:proofErr w:type="gramEnd"/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secondo. Recenti tendenze della community care: problemi e prospettive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Capitolo terzo. Aspetti metodologici del lavoro sociale di rete</w:t>
            </w:r>
          </w:p>
          <w:p w:rsidR="00D419CA" w:rsidRPr="00114D14" w:rsidRDefault="00D419CA" w:rsidP="004464B4">
            <w:pPr>
              <w:shd w:val="clear" w:color="auto" w:fill="FFFFFF"/>
              <w:ind w:left="360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114D14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  <w:lang w:val="it-IT"/>
              </w:rPr>
              <w:t>Introduzione alla seconda parte pp. 221-234</w:t>
            </w:r>
          </w:p>
          <w:p w:rsidR="00D419CA" w:rsidRPr="004464B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13/3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Reti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sociali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2.0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Slides</w:t>
            </w:r>
            <w:r w:rsidR="00803BE7">
              <w:rPr>
                <w:rFonts w:ascii="Arial Narrow" w:hAnsi="Arial Narrow"/>
                <w:sz w:val="24"/>
                <w:szCs w:val="24"/>
              </w:rPr>
              <w:t xml:space="preserve"> online</w:t>
            </w: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14/3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OPG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03BE7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20/3</w:t>
            </w:r>
          </w:p>
        </w:tc>
        <w:tc>
          <w:tcPr>
            <w:tcW w:w="2895" w:type="pct"/>
          </w:tcPr>
          <w:p w:rsidR="00D419CA" w:rsidRPr="00114D14" w:rsidRDefault="00D419CA" w:rsidP="004464B4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Il carcere: il teatro Grazia Isoardi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B12F73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24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21/3</w:t>
            </w:r>
          </w:p>
        </w:tc>
        <w:tc>
          <w:tcPr>
            <w:tcW w:w="2895" w:type="pct"/>
          </w:tcPr>
          <w:p w:rsidR="00D419CA" w:rsidRPr="00114D14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Convenzione Onu per i diritti delle persone con disabilità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  <w:lang w:val="it-IT"/>
              </w:rPr>
              <w:t>convenzione</w:t>
            </w:r>
            <w:proofErr w:type="gramEnd"/>
          </w:p>
        </w:tc>
      </w:tr>
      <w:tr w:rsidR="00D419CA" w:rsidRPr="0030427A" w:rsidTr="00D419CA">
        <w:tc>
          <w:tcPr>
            <w:tcW w:w="288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27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27/3</w:t>
            </w:r>
          </w:p>
        </w:tc>
        <w:tc>
          <w:tcPr>
            <w:tcW w:w="2895" w:type="pct"/>
            <w:tcBorders>
              <w:bottom w:val="single" w:sz="4" w:space="0" w:color="auto"/>
            </w:tcBorders>
          </w:tcPr>
          <w:p w:rsidR="00D419C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Co-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(chiedere Monica di Esserci) /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Enjoy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difference</w:t>
            </w:r>
            <w:proofErr w:type="spellEnd"/>
          </w:p>
          <w:p w:rsidR="00D419CA" w:rsidRPr="0030427A" w:rsidRDefault="00D419CA" w:rsidP="00193387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 xml:space="preserve">(Convegno </w:t>
            </w:r>
            <w:proofErr w:type="spellStart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Guglielminetti</w:t>
            </w:r>
            <w:proofErr w:type="spellEnd"/>
            <w:r w:rsidRPr="0030427A">
              <w:rPr>
                <w:rFonts w:ascii="Arial Narrow" w:hAnsi="Arial Narrow"/>
                <w:sz w:val="24"/>
                <w:szCs w:val="24"/>
                <w:lang w:val="it-IT"/>
              </w:rPr>
              <w:t>)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D419CA" w:rsidRPr="0030427A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114D14" w:rsidTr="00D419CA">
        <w:tc>
          <w:tcPr>
            <w:tcW w:w="288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 xml:space="preserve">30 fine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edu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prof</w:t>
            </w:r>
          </w:p>
        </w:tc>
        <w:tc>
          <w:tcPr>
            <w:tcW w:w="289" w:type="pct"/>
            <w:tcBorders>
              <w:bottom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28/3</w:t>
            </w:r>
          </w:p>
        </w:tc>
        <w:tc>
          <w:tcPr>
            <w:tcW w:w="2895" w:type="pct"/>
            <w:tcBorders>
              <w:bottom w:val="thinThickSmallGap" w:sz="24" w:space="0" w:color="auto"/>
            </w:tcBorders>
          </w:tcPr>
          <w:p w:rsidR="00D419CA" w:rsidRPr="00114D14" w:rsidRDefault="00D419CA" w:rsidP="0030427A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Senza fissa dimora dai dormitori al </w:t>
            </w:r>
            <w:proofErr w:type="spellStart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housing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 xml:space="preserve"> first (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P</w:t>
            </w: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orcellana)</w:t>
            </w:r>
          </w:p>
        </w:tc>
        <w:tc>
          <w:tcPr>
            <w:tcW w:w="1528" w:type="pct"/>
            <w:tcBorders>
              <w:bottom w:val="thinThickSmallGap" w:sz="24" w:space="0" w:color="auto"/>
            </w:tcBorders>
          </w:tcPr>
          <w:p w:rsidR="00D419CA" w:rsidRPr="00114D14" w:rsidRDefault="00803BE7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Porcellana, V. (2011).</w:t>
            </w:r>
            <w:r>
              <w:rPr>
                <w:rStyle w:val="apple-converted-space"/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Sei mai stato in dormitorio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?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 xml:space="preserve"> analisi antropologica degli spazi d'accoglienza notturna a Torino.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it-IT" w:eastAsia="zh-TW"/>
              </w:rPr>
              <w:t> 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Roma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Aracne</w:t>
            </w:r>
            <w:proofErr w:type="spellEnd"/>
          </w:p>
        </w:tc>
      </w:tr>
      <w:tr w:rsidR="00D419CA" w:rsidRPr="00114D14" w:rsidTr="00D419CA">
        <w:tc>
          <w:tcPr>
            <w:tcW w:w="288" w:type="pct"/>
            <w:tcBorders>
              <w:top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289" w:type="pct"/>
            <w:tcBorders>
              <w:top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3/4</w:t>
            </w:r>
          </w:p>
        </w:tc>
        <w:tc>
          <w:tcPr>
            <w:tcW w:w="2895" w:type="pct"/>
            <w:tcBorders>
              <w:top w:val="thinThickSmallGap" w:sz="24" w:space="0" w:color="auto"/>
            </w:tcBorders>
          </w:tcPr>
          <w:p w:rsidR="00D419CA" w:rsidRPr="00114D14" w:rsidRDefault="00D419CA" w:rsidP="0037585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>progettazione</w:t>
            </w:r>
            <w:proofErr w:type="spellEnd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>educativa</w:t>
            </w:r>
            <w:proofErr w:type="spellEnd"/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thinThickSmallGap" w:sz="24" w:space="0" w:color="auto"/>
            </w:tcBorders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4/4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>progettazione</w:t>
            </w:r>
            <w:proofErr w:type="spellEnd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14D14"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>educativa</w:t>
            </w:r>
            <w:proofErr w:type="spellEnd"/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10/4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La progettazione in pratica: Istituto sordi 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803BE7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it-IT"/>
              </w:rPr>
              <w:t>Slide online</w:t>
            </w:r>
          </w:p>
        </w:tc>
      </w:tr>
      <w:tr w:rsidR="00D419CA" w:rsidRPr="00114D14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42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11/4</w:t>
            </w:r>
          </w:p>
        </w:tc>
        <w:tc>
          <w:tcPr>
            <w:tcW w:w="2895" w:type="pct"/>
          </w:tcPr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14D14">
              <w:rPr>
                <w:rFonts w:ascii="Arial Narrow" w:hAnsi="Arial Narrow"/>
                <w:sz w:val="24"/>
                <w:szCs w:val="24"/>
              </w:rPr>
              <w:t>Microaree</w:t>
            </w:r>
            <w:proofErr w:type="spellEnd"/>
            <w:r w:rsidRPr="00114D14">
              <w:rPr>
                <w:rFonts w:ascii="Arial Narrow" w:hAnsi="Arial Narrow"/>
                <w:sz w:val="24"/>
                <w:szCs w:val="24"/>
              </w:rPr>
              <w:t xml:space="preserve"> (Renata Bracco)</w:t>
            </w:r>
          </w:p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1528" w:type="pct"/>
          </w:tcPr>
          <w:p w:rsidR="00D419CA" w:rsidRPr="00114D14" w:rsidRDefault="00803BE7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Slide online</w:t>
            </w:r>
          </w:p>
        </w:tc>
      </w:tr>
      <w:tr w:rsidR="00D419CA" w:rsidRPr="00803BE7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17/4</w:t>
            </w:r>
          </w:p>
        </w:tc>
        <w:tc>
          <w:tcPr>
            <w:tcW w:w="2895" w:type="pct"/>
          </w:tcPr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La progettazione in pratica: acquaticità (</w:t>
            </w:r>
            <w:proofErr w:type="spell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Aquarella</w:t>
            </w:r>
            <w:proofErr w:type="spellEnd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, carta dei diritti del bambino in acqua)</w:t>
            </w:r>
          </w:p>
          <w:p w:rsidR="00D419CA" w:rsidRPr="00114D14" w:rsidRDefault="00D419CA" w:rsidP="00375859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F1F0B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48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18/4</w:t>
            </w:r>
          </w:p>
        </w:tc>
        <w:tc>
          <w:tcPr>
            <w:tcW w:w="2895" w:type="pct"/>
          </w:tcPr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La progettazione in pratica: Le biblioteche (chiedere Messina)</w:t>
            </w:r>
          </w:p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La progettazione in pratica: Venaria</w:t>
            </w:r>
          </w:p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F1F0B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t>51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24/4</w:t>
            </w:r>
          </w:p>
        </w:tc>
        <w:tc>
          <w:tcPr>
            <w:tcW w:w="2895" w:type="pct"/>
          </w:tcPr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Visione di “</w:t>
            </w:r>
            <w:proofErr w:type="spell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Amour</w:t>
            </w:r>
            <w:proofErr w:type="spellEnd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”</w:t>
            </w:r>
          </w:p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Ageing</w:t>
            </w:r>
            <w:proofErr w:type="spellEnd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attivo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Parte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I</w:t>
            </w:r>
          </w:p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D419CA" w:rsidRPr="008F1F0B" w:rsidTr="00D419CA">
        <w:tc>
          <w:tcPr>
            <w:tcW w:w="288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14D14"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54</w:t>
            </w:r>
          </w:p>
        </w:tc>
        <w:tc>
          <w:tcPr>
            <w:tcW w:w="289" w:type="pct"/>
          </w:tcPr>
          <w:p w:rsidR="00D419CA" w:rsidRPr="00114D14" w:rsidRDefault="00D419CA" w:rsidP="00375859">
            <w:pPr>
              <w:rPr>
                <w:rFonts w:ascii="Arial Narrow" w:hAnsi="Arial Narrow"/>
                <w:sz w:val="24"/>
                <w:szCs w:val="24"/>
              </w:rPr>
            </w:pPr>
            <w:r w:rsidRPr="00114D14">
              <w:rPr>
                <w:rFonts w:ascii="Arial Narrow" w:hAnsi="Arial Narrow"/>
                <w:sz w:val="24"/>
                <w:szCs w:val="24"/>
              </w:rPr>
              <w:t>8/5</w:t>
            </w:r>
          </w:p>
        </w:tc>
        <w:tc>
          <w:tcPr>
            <w:tcW w:w="2895" w:type="pct"/>
          </w:tcPr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Ageing</w:t>
            </w:r>
            <w:proofErr w:type="spellEnd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14D1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>attivo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 Parte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  <w:t xml:space="preserve"> II</w:t>
            </w:r>
          </w:p>
          <w:p w:rsidR="00D419CA" w:rsidRPr="00114D14" w:rsidRDefault="00D419CA" w:rsidP="008F1F0B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-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pct"/>
          </w:tcPr>
          <w:p w:rsidR="00D419CA" w:rsidRPr="00114D14" w:rsidRDefault="00803BE7" w:rsidP="00375859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Slide online</w:t>
            </w:r>
            <w:bookmarkStart w:id="2" w:name="_GoBack"/>
            <w:bookmarkEnd w:id="2"/>
          </w:p>
        </w:tc>
      </w:tr>
    </w:tbl>
    <w:p w:rsidR="00CF7EE8" w:rsidRDefault="00803BE7"/>
    <w:sectPr w:rsidR="00CF7EE8" w:rsidSect="00A03865">
      <w:pgSz w:w="13608" w:h="9639" w:orient="landscape" w:code="9"/>
      <w:pgMar w:top="720" w:right="720" w:bottom="720" w:left="720" w:header="737" w:footer="127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B"/>
    <w:rsid w:val="00193387"/>
    <w:rsid w:val="001B2D90"/>
    <w:rsid w:val="002D3440"/>
    <w:rsid w:val="0030427A"/>
    <w:rsid w:val="0039524B"/>
    <w:rsid w:val="004464B4"/>
    <w:rsid w:val="00803BE7"/>
    <w:rsid w:val="008F1F0B"/>
    <w:rsid w:val="00D23709"/>
    <w:rsid w:val="00D419CA"/>
    <w:rsid w:val="00E046F3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25BC-064D-4930-9A75-70059EA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24B"/>
    <w:pPr>
      <w:spacing w:after="0"/>
      <w:jc w:val="both"/>
    </w:pPr>
    <w:rPr>
      <w:rFonts w:ascii="Arial" w:hAnsi="Arial" w:cs="Arial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24B"/>
    <w:pPr>
      <w:spacing w:after="0" w:line="240" w:lineRule="auto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524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9524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9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istituzionalizzazione-trieste.it/letteratura/Letteratura/I%20luoghi%20della%20cura%20buone%20e%20cattive%20pratich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stituzionalizzazione-trieste.it/letteratura/Letteratura/I%20luoghi%20della%20cura%20buone%20e%20cattive%20pratiche.doc" TargetMode="External"/><Relationship Id="rId5" Type="http://schemas.openxmlformats.org/officeDocument/2006/relationships/hyperlink" Target="http://www.salute.gov.it/imgs/C_17_normativa_888_allegato.pdf" TargetMode="External"/><Relationship Id="rId4" Type="http://schemas.openxmlformats.org/officeDocument/2006/relationships/hyperlink" Target="http://www.triestesalutementale.it/letteratura/testi/35dist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Barbara Bruschi</cp:lastModifiedBy>
  <cp:revision>4</cp:revision>
  <dcterms:created xsi:type="dcterms:W3CDTF">2014-03-06T06:13:00Z</dcterms:created>
  <dcterms:modified xsi:type="dcterms:W3CDTF">2014-04-26T09:06:00Z</dcterms:modified>
</cp:coreProperties>
</file>