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4679" w:type="pct"/>
        <w:tblLayout w:type="fixed"/>
        <w:tblLook w:val="04A0" w:firstRow="1" w:lastRow="0" w:firstColumn="1" w:lastColumn="0" w:noHBand="0" w:noVBand="1"/>
      </w:tblPr>
      <w:tblGrid>
        <w:gridCol w:w="655"/>
        <w:gridCol w:w="658"/>
        <w:gridCol w:w="6587"/>
        <w:gridCol w:w="3477"/>
      </w:tblGrid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N. Ore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Data incontro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Argomento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Materiale</w:t>
            </w:r>
          </w:p>
        </w:tc>
      </w:tr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3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27/2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Introduzione al corso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Educazione ed educare: concetti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multiprospettici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I Parte</w:t>
            </w:r>
          </w:p>
        </w:tc>
        <w:tc>
          <w:tcPr>
            <w:tcW w:w="1528" w:type="pct"/>
          </w:tcPr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bookmarkStart w:id="0" w:name="OLE_LINK1"/>
            <w:bookmarkStart w:id="1" w:name="OLE_LINK2"/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 xml:space="preserve">Nosari S., </w:t>
            </w:r>
            <w:r w:rsidRPr="00D419CA">
              <w:rPr>
                <w:rFonts w:ascii="Arial Narrow" w:hAnsi="Arial Narrow"/>
                <w:i/>
                <w:sz w:val="24"/>
                <w:szCs w:val="24"/>
                <w:lang w:val="it-IT"/>
              </w:rPr>
              <w:t>Capire l’educazione. Lessico, contesti, scenari</w:t>
            </w: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, Milano, Mondadori, 2013 le seguenti voci:</w:t>
            </w:r>
          </w:p>
          <w:bookmarkEnd w:id="0"/>
          <w:bookmarkEnd w:id="1"/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Cambiamento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Processo educativo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Fine/Obiettivo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Educazione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Animazione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Sentimento/Cura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Relazione educativa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Progettualità/Progetto</w:t>
            </w:r>
          </w:p>
          <w:p w:rsidR="00D419CA" w:rsidRPr="008F57E6" w:rsidRDefault="00D419CA" w:rsidP="00D419CA">
            <w:pPr>
              <w:rPr>
                <w:sz w:val="24"/>
                <w:szCs w:val="24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Metodologia educativa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3D5B02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6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28/2</w:t>
            </w:r>
          </w:p>
        </w:tc>
        <w:tc>
          <w:tcPr>
            <w:tcW w:w="2895" w:type="pct"/>
          </w:tcPr>
          <w:p w:rsidR="00D419CA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14D14">
              <w:rPr>
                <w:rFonts w:ascii="Arial Narrow" w:hAnsi="Arial Narrow"/>
                <w:sz w:val="24"/>
                <w:szCs w:val="24"/>
              </w:rPr>
              <w:t xml:space="preserve">Educazione ed educare: concetti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multiprospettici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II Parte</w:t>
            </w:r>
          </w:p>
          <w:p w:rsidR="00D419CA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</w:p>
          <w:p w:rsidR="00D419CA" w:rsidRPr="00114D14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 manicomi e la loro chiusura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  I Parte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I giardini di Abele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http://www.deistituzionalizzazione-trieste.it/videogallery/VideoSourceITA.html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Franco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Basaglia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LA DISTRUZIONE DELL’OSPEDALE PSICHIATRICO COME LUOGO DI ISTITUZIONALIZZAZIONE (Mortificazione e libertà dello “spazio chiuso”, considerazioni sul sistema “open 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 xml:space="preserve">door”) </w:t>
            </w:r>
            <w:hyperlink r:id="rId4" w:history="1">
              <w:r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http://www.triestesalutementale.it/letteratura/testi/35distr.htm</w:t>
              </w:r>
            </w:hyperlink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Legge 13 maggio 1978, n. 180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" Accertamenti e trattamenti sanitari volontari e obbligatori "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pubblicata</w:t>
            </w:r>
            <w:proofErr w:type="gram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nella Gazzetta Ufficiale 16 maggio 1978, n. 133.</w:t>
            </w:r>
          </w:p>
          <w:p w:rsidR="00D419CA" w:rsidRPr="00114D14" w:rsidRDefault="003D5B02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hyperlink r:id="rId5" w:history="1">
              <w:r w:rsidR="00D419CA"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http://www.salute.gov.it/imgs/C_17_normativa_888_allegato.pdf</w:t>
              </w:r>
            </w:hyperlink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 G. Dell'Acqua, (Da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Italianieuropei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nr. 2/2009) </w:t>
            </w:r>
            <w:hyperlink r:id="rId6" w:tgtFrame="_blank" w:history="1">
              <w:r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I luoghi della cura: buone e cattive pratiche</w:t>
              </w:r>
            </w:hyperlink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 (.doc)</w:t>
            </w:r>
          </w:p>
          <w:p w:rsidR="00D419CA" w:rsidRPr="00114D14" w:rsidRDefault="003D5B02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hyperlink r:id="rId7" w:history="1">
              <w:r w:rsidR="00D419CA"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http://www.deistituzionalizzazione-trieste.it/letteratura/Letteratura/I%20luoghi%20della%20cura%20buone%20e%20cattive%20pratiche.doc</w:t>
              </w:r>
            </w:hyperlink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Dell'Acqua, </w:t>
            </w:r>
            <w:proofErr w:type="gram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G. ,</w:t>
            </w:r>
            <w:proofErr w:type="gram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&amp;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Rovatti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P. ,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Scabia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G. ,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Mezzina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R. ,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Basaglia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, F. Rotelli, F. (2007). </w:t>
            </w:r>
            <w:r w:rsidRPr="00114D14">
              <w:rPr>
                <w:rFonts w:ascii="Arial Narrow" w:hAnsi="Arial Narrow"/>
                <w:i/>
                <w:iCs/>
                <w:sz w:val="24"/>
                <w:szCs w:val="24"/>
                <w:lang w:val="it-IT"/>
              </w:rPr>
              <w:t>Non ho l'arma che uccide il leone 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Viterbo Stampa alternativa, Nuovi equilibri.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INTERVISTA A PEPPE DELL’ACQUA: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 xml:space="preserve">LA LEGGE BASAGLIA 30 ANNI DOPO Roberto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Camarlingi</w:t>
            </w:r>
            <w:proofErr w:type="spellEnd"/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http://www.psychiatryonline.it/sites/default/files/Libro180-Articolo3.pdf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3D5B02" w:rsidTr="00D419CA">
        <w:trPr>
          <w:trHeight w:val="1023"/>
        </w:trPr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>9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6/3</w:t>
            </w:r>
          </w:p>
        </w:tc>
        <w:tc>
          <w:tcPr>
            <w:tcW w:w="2895" w:type="pct"/>
          </w:tcPr>
          <w:p w:rsidR="00D419CA" w:rsidRPr="00114D14" w:rsidRDefault="00D419CA" w:rsidP="0039524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 manicomi e la loro chiusura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  II Parte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3D5B02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12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7/3</w:t>
            </w:r>
          </w:p>
        </w:tc>
        <w:tc>
          <w:tcPr>
            <w:tcW w:w="2895" w:type="pct"/>
          </w:tcPr>
          <w:p w:rsidR="00D419CA" w:rsidRPr="004464B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comunità</w:t>
            </w:r>
            <w:proofErr w:type="gram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, reti sociali e interventi educativi un inquadramento</w:t>
            </w:r>
          </w:p>
        </w:tc>
        <w:tc>
          <w:tcPr>
            <w:tcW w:w="1528" w:type="pct"/>
          </w:tcPr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Donati, P. </w:t>
            </w:r>
            <w:proofErr w:type="spellStart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Folgheraiter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, F. (1993).</w:t>
            </w:r>
            <w:r w:rsidRPr="00114D14">
              <w:rPr>
                <w:rStyle w:val="apple-converted-space"/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Community </w:t>
            </w:r>
            <w:proofErr w:type="gramStart"/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>care :</w:t>
            </w:r>
            <w:proofErr w:type="gramEnd"/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 teoria e pratica del lavoro sociale di </w:t>
            </w:r>
            <w:proofErr w:type="spellStart"/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>rete.</w:t>
            </w: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Trento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 Centro studi </w:t>
            </w:r>
            <w:proofErr w:type="spellStart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Erickson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proofErr w:type="gramStart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Capp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.:</w:t>
            </w:r>
            <w:proofErr w:type="gram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Capitolo secondo. Recenti tendenze della community care: problemi e prospettive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Capitolo terzo. Aspetti metodologici del lavoro sociale di rete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Introduzione alla seconda parte pp. 221-234</w:t>
            </w:r>
          </w:p>
          <w:p w:rsidR="00D419CA" w:rsidRPr="004464B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13/3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Reti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sociali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2.0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Slides</w:t>
            </w:r>
            <w:r w:rsidR="003D5B02">
              <w:rPr>
                <w:rFonts w:ascii="Arial Narrow" w:hAnsi="Arial Narrow"/>
                <w:sz w:val="24"/>
                <w:szCs w:val="24"/>
              </w:rPr>
              <w:t xml:space="preserve"> online</w:t>
            </w:r>
          </w:p>
        </w:tc>
      </w:tr>
      <w:tr w:rsidR="00D419CA" w:rsidRPr="00B12F73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14/3</w:t>
            </w:r>
          </w:p>
        </w:tc>
        <w:tc>
          <w:tcPr>
            <w:tcW w:w="2895" w:type="pct"/>
          </w:tcPr>
          <w:p w:rsidR="00D419CA" w:rsidRPr="00114D14" w:rsidRDefault="00D419CA" w:rsidP="004464B4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7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OPG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3D5B02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20/3</w:t>
            </w:r>
          </w:p>
        </w:tc>
        <w:tc>
          <w:tcPr>
            <w:tcW w:w="2895" w:type="pct"/>
          </w:tcPr>
          <w:p w:rsidR="00D419CA" w:rsidRPr="00114D14" w:rsidRDefault="00D419CA" w:rsidP="004464B4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77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Il carcere: il teatro Grazia Isoardi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B12F73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>24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21/3</w:t>
            </w:r>
          </w:p>
        </w:tc>
        <w:tc>
          <w:tcPr>
            <w:tcW w:w="2895" w:type="pct"/>
          </w:tcPr>
          <w:p w:rsidR="00D419CA" w:rsidRPr="00114D14" w:rsidRDefault="00D419CA" w:rsidP="0019338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Convenzione Onu per i diritti delle persone con disabilità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528" w:type="pct"/>
          </w:tcPr>
          <w:p w:rsidR="00D419CA" w:rsidRPr="00114D14" w:rsidRDefault="003D5B02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C</w:t>
            </w:r>
            <w:r w:rsidR="00D419CA">
              <w:rPr>
                <w:rFonts w:ascii="Arial Narrow" w:hAnsi="Arial Narrow"/>
                <w:sz w:val="24"/>
                <w:szCs w:val="24"/>
                <w:lang w:val="it-IT"/>
              </w:rPr>
              <w:t>onvenzione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pubblicata online</w:t>
            </w:r>
          </w:p>
        </w:tc>
      </w:tr>
      <w:tr w:rsidR="00D419CA" w:rsidRPr="0030427A" w:rsidTr="00D419CA">
        <w:tc>
          <w:tcPr>
            <w:tcW w:w="288" w:type="pct"/>
            <w:tcBorders>
              <w:bottom w:val="single" w:sz="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27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27/3</w:t>
            </w:r>
          </w:p>
        </w:tc>
        <w:tc>
          <w:tcPr>
            <w:tcW w:w="2895" w:type="pct"/>
            <w:tcBorders>
              <w:bottom w:val="single" w:sz="4" w:space="0" w:color="auto"/>
            </w:tcBorders>
          </w:tcPr>
          <w:p w:rsidR="00D419CA" w:rsidRDefault="00D419CA" w:rsidP="0019338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Co-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housing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(chiedere Monica di Esserci) /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Enjoy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the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difference</w:t>
            </w:r>
            <w:proofErr w:type="spellEnd"/>
          </w:p>
          <w:p w:rsidR="00D419CA" w:rsidRPr="0030427A" w:rsidRDefault="00D419CA" w:rsidP="0019338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0427A">
              <w:rPr>
                <w:rFonts w:ascii="Arial Narrow" w:hAnsi="Arial Narrow"/>
                <w:sz w:val="24"/>
                <w:szCs w:val="24"/>
                <w:lang w:val="it-IT"/>
              </w:rPr>
              <w:t xml:space="preserve">(Convegno </w:t>
            </w:r>
            <w:proofErr w:type="spellStart"/>
            <w:r w:rsidRPr="0030427A">
              <w:rPr>
                <w:rFonts w:ascii="Arial Narrow" w:hAnsi="Arial Narrow"/>
                <w:sz w:val="24"/>
                <w:szCs w:val="24"/>
                <w:lang w:val="it-IT"/>
              </w:rPr>
              <w:t>Guglielminetti</w:t>
            </w:r>
            <w:proofErr w:type="spellEnd"/>
            <w:r w:rsidRPr="0030427A">
              <w:rPr>
                <w:rFonts w:ascii="Arial Narrow" w:hAnsi="Arial Narrow"/>
                <w:sz w:val="24"/>
                <w:szCs w:val="24"/>
                <w:lang w:val="it-IT"/>
              </w:rPr>
              <w:t>)</w:t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D419CA" w:rsidRPr="0030427A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114D14" w:rsidTr="00D419CA">
        <w:tc>
          <w:tcPr>
            <w:tcW w:w="288" w:type="pct"/>
            <w:tcBorders>
              <w:bottom w:val="thinThickSmallGap" w:sz="2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 xml:space="preserve">30 fine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edu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prof</w:t>
            </w:r>
          </w:p>
        </w:tc>
        <w:tc>
          <w:tcPr>
            <w:tcW w:w="289" w:type="pct"/>
            <w:tcBorders>
              <w:bottom w:val="thinThickSmallGap" w:sz="2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28/3</w:t>
            </w:r>
          </w:p>
        </w:tc>
        <w:tc>
          <w:tcPr>
            <w:tcW w:w="2895" w:type="pct"/>
            <w:tcBorders>
              <w:bottom w:val="thinThickSmallGap" w:sz="24" w:space="0" w:color="auto"/>
            </w:tcBorders>
          </w:tcPr>
          <w:p w:rsidR="00D419CA" w:rsidRPr="00114D14" w:rsidRDefault="00D419CA" w:rsidP="0030427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Senza fissa dimora dai dormitori al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housing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first (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P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orcellana)</w:t>
            </w:r>
          </w:p>
        </w:tc>
        <w:tc>
          <w:tcPr>
            <w:tcW w:w="1528" w:type="pct"/>
            <w:tcBorders>
              <w:bottom w:val="thinThickSmallGap" w:sz="24" w:space="0" w:color="auto"/>
            </w:tcBorders>
          </w:tcPr>
          <w:p w:rsidR="00D419CA" w:rsidRPr="00114D14" w:rsidRDefault="003D5B02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  <w:lang w:val="it-IT"/>
              </w:rPr>
              <w:t>Porcellana, V. (2011).</w:t>
            </w:r>
            <w:r>
              <w:rPr>
                <w:rStyle w:val="apple-converted-space"/>
                <w:rFonts w:ascii="Verdana" w:hAnsi="Verdana"/>
                <w:color w:val="222222"/>
                <w:sz w:val="20"/>
                <w:szCs w:val="20"/>
                <w:shd w:val="clear" w:color="auto" w:fill="FFFFFF"/>
                <w:lang w:val="it-IT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>Sei mai stato in dormitorio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>?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 xml:space="preserve"> analisi antropologica degli spazi d'accoglienza notturna a Torino.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> 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Roma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Aracne</w:t>
            </w:r>
            <w:bookmarkStart w:id="2" w:name="_GoBack"/>
            <w:bookmarkEnd w:id="2"/>
            <w:proofErr w:type="spellEnd"/>
          </w:p>
        </w:tc>
      </w:tr>
    </w:tbl>
    <w:p w:rsidR="00CF7EE8" w:rsidRDefault="003D5B02"/>
    <w:sectPr w:rsidR="00CF7EE8" w:rsidSect="00A03865">
      <w:pgSz w:w="13608" w:h="9639" w:orient="landscape" w:code="9"/>
      <w:pgMar w:top="720" w:right="720" w:bottom="720" w:left="720" w:header="737" w:footer="127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B"/>
    <w:rsid w:val="000A367D"/>
    <w:rsid w:val="00193387"/>
    <w:rsid w:val="001B2D90"/>
    <w:rsid w:val="002D3440"/>
    <w:rsid w:val="0030427A"/>
    <w:rsid w:val="0039524B"/>
    <w:rsid w:val="003D5B02"/>
    <w:rsid w:val="004464B4"/>
    <w:rsid w:val="004E03C1"/>
    <w:rsid w:val="0054306A"/>
    <w:rsid w:val="008F1F0B"/>
    <w:rsid w:val="00D23709"/>
    <w:rsid w:val="00D419CA"/>
    <w:rsid w:val="00E046F3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25BC-064D-4930-9A75-70059EA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524B"/>
    <w:pPr>
      <w:spacing w:after="0"/>
      <w:jc w:val="both"/>
    </w:pPr>
    <w:rPr>
      <w:rFonts w:ascii="Arial" w:hAnsi="Arial" w:cs="Arial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24B"/>
    <w:pPr>
      <w:spacing w:after="0" w:line="240" w:lineRule="auto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524B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9524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9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istituzionalizzazione-trieste.it/letteratura/Letteratura/I%20luoghi%20della%20cura%20buone%20e%20cattive%20pratich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istituzionalizzazione-trieste.it/letteratura/Letteratura/I%20luoghi%20della%20cura%20buone%20e%20cattive%20pratiche.doc" TargetMode="External"/><Relationship Id="rId5" Type="http://schemas.openxmlformats.org/officeDocument/2006/relationships/hyperlink" Target="http://www.salute.gov.it/imgs/C_17_normativa_888_allegato.pdf" TargetMode="External"/><Relationship Id="rId4" Type="http://schemas.openxmlformats.org/officeDocument/2006/relationships/hyperlink" Target="http://www.triestesalutementale.it/letteratura/testi/35distr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Barbara Bruschi</cp:lastModifiedBy>
  <cp:revision>3</cp:revision>
  <dcterms:created xsi:type="dcterms:W3CDTF">2014-03-06T06:15:00Z</dcterms:created>
  <dcterms:modified xsi:type="dcterms:W3CDTF">2014-04-26T09:07:00Z</dcterms:modified>
</cp:coreProperties>
</file>