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1E2" w:rsidRPr="001F4573" w:rsidRDefault="008579FB">
      <w:pPr>
        <w:rPr>
          <w:rFonts w:ascii="Verdana" w:hAnsi="Verdana"/>
          <w:b/>
          <w:sz w:val="24"/>
          <w:szCs w:val="24"/>
        </w:rPr>
      </w:pPr>
      <w:r w:rsidRPr="001F4573">
        <w:rPr>
          <w:rFonts w:ascii="Verdana" w:hAnsi="Verdana"/>
          <w:b/>
          <w:sz w:val="24"/>
          <w:szCs w:val="24"/>
        </w:rPr>
        <w:t>Parte II accorgimenti retorici</w:t>
      </w:r>
    </w:p>
    <w:p w:rsidR="008579FB" w:rsidRPr="001F4573" w:rsidRDefault="008579FB">
      <w:pPr>
        <w:rPr>
          <w:rFonts w:ascii="Verdana" w:hAnsi="Verdana"/>
          <w:sz w:val="24"/>
          <w:szCs w:val="24"/>
        </w:rPr>
      </w:pPr>
      <w:r w:rsidRPr="001F4573">
        <w:rPr>
          <w:rFonts w:ascii="Verdana" w:hAnsi="Verdana"/>
          <w:sz w:val="24"/>
          <w:szCs w:val="24"/>
        </w:rPr>
        <w:t xml:space="preserve">Par. 8. </w:t>
      </w:r>
      <w:r w:rsidRPr="000142D2">
        <w:rPr>
          <w:rFonts w:ascii="Verdana" w:hAnsi="Verdana"/>
          <w:b/>
          <w:sz w:val="24"/>
          <w:szCs w:val="24"/>
        </w:rPr>
        <w:t>Finzioni giuridiche</w:t>
      </w:r>
      <w:r w:rsidRPr="001F4573">
        <w:rPr>
          <w:rFonts w:ascii="Verdana" w:hAnsi="Verdana"/>
          <w:sz w:val="24"/>
          <w:szCs w:val="24"/>
        </w:rPr>
        <w:t>.</w:t>
      </w:r>
    </w:p>
    <w:p w:rsidR="008579FB" w:rsidRPr="001F4573" w:rsidRDefault="008579FB" w:rsidP="000142D2">
      <w:pPr>
        <w:rPr>
          <w:rFonts w:ascii="Verdana" w:hAnsi="Verdana"/>
          <w:sz w:val="24"/>
          <w:szCs w:val="24"/>
        </w:rPr>
      </w:pPr>
      <w:r w:rsidRPr="001F4573">
        <w:rPr>
          <w:rFonts w:ascii="Verdana" w:hAnsi="Verdana"/>
          <w:sz w:val="24"/>
          <w:szCs w:val="24"/>
        </w:rPr>
        <w:t xml:space="preserve">Non giunge come una sorpresa </w:t>
      </w:r>
      <w:r w:rsidR="00F33D7A">
        <w:rPr>
          <w:rFonts w:ascii="Verdana" w:hAnsi="Verdana"/>
          <w:sz w:val="24"/>
          <w:szCs w:val="24"/>
        </w:rPr>
        <w:t>per</w:t>
      </w:r>
      <w:r w:rsidR="005F2465">
        <w:rPr>
          <w:rFonts w:ascii="Verdana" w:hAnsi="Verdana"/>
          <w:sz w:val="24"/>
          <w:szCs w:val="24"/>
        </w:rPr>
        <w:t xml:space="preserve"> il</w:t>
      </w:r>
      <w:r w:rsidRPr="001F4573">
        <w:rPr>
          <w:rFonts w:ascii="Verdana" w:hAnsi="Verdana"/>
          <w:sz w:val="24"/>
          <w:szCs w:val="24"/>
        </w:rPr>
        <w:t xml:space="preserve"> lettore di formazione romanistica il fatto che il diritto ricorra a finzioni.</w:t>
      </w:r>
    </w:p>
    <w:p w:rsidR="008579FB" w:rsidRPr="003A7416" w:rsidRDefault="008579FB" w:rsidP="000142D2">
      <w:pPr>
        <w:pStyle w:val="Testonormale"/>
        <w:spacing w:line="276" w:lineRule="auto"/>
        <w:rPr>
          <w:rFonts w:ascii="Verdana" w:hAnsi="Verdana"/>
          <w:sz w:val="24"/>
          <w:szCs w:val="24"/>
        </w:rPr>
      </w:pPr>
      <w:r w:rsidRPr="001F4573">
        <w:rPr>
          <w:rFonts w:ascii="Verdana" w:hAnsi="Verdana"/>
          <w:sz w:val="24"/>
          <w:szCs w:val="24"/>
        </w:rPr>
        <w:t>Molte lezioni di diritto romano sono dedicate alla “</w:t>
      </w:r>
      <w:proofErr w:type="spellStart"/>
      <w:r w:rsidRPr="001F4573">
        <w:rPr>
          <w:rFonts w:ascii="Verdana" w:hAnsi="Verdana"/>
          <w:sz w:val="24"/>
          <w:szCs w:val="24"/>
        </w:rPr>
        <w:t>ficta</w:t>
      </w:r>
      <w:proofErr w:type="spellEnd"/>
      <w:r w:rsidRPr="001F4573">
        <w:rPr>
          <w:rFonts w:ascii="Verdana" w:hAnsi="Verdana"/>
          <w:sz w:val="24"/>
          <w:szCs w:val="24"/>
        </w:rPr>
        <w:t xml:space="preserve"> </w:t>
      </w:r>
      <w:proofErr w:type="spellStart"/>
      <w:r w:rsidRPr="001F4573">
        <w:rPr>
          <w:rFonts w:ascii="Verdana" w:hAnsi="Verdana"/>
          <w:sz w:val="24"/>
          <w:szCs w:val="24"/>
        </w:rPr>
        <w:t>possessio</w:t>
      </w:r>
      <w:proofErr w:type="spellEnd"/>
      <w:r w:rsidRPr="001F4573">
        <w:rPr>
          <w:rFonts w:ascii="Verdana" w:hAnsi="Verdana"/>
          <w:sz w:val="24"/>
          <w:szCs w:val="24"/>
        </w:rPr>
        <w:t>”, all’</w:t>
      </w:r>
      <w:proofErr w:type="spellStart"/>
      <w:r w:rsidRPr="001F4573">
        <w:rPr>
          <w:rFonts w:ascii="Verdana" w:hAnsi="Verdana"/>
          <w:sz w:val="24"/>
          <w:szCs w:val="24"/>
        </w:rPr>
        <w:t>actio</w:t>
      </w:r>
      <w:proofErr w:type="spellEnd"/>
      <w:r w:rsidRPr="001F4573">
        <w:rPr>
          <w:rFonts w:ascii="Verdana" w:hAnsi="Verdana"/>
          <w:sz w:val="24"/>
          <w:szCs w:val="24"/>
        </w:rPr>
        <w:t xml:space="preserve"> </w:t>
      </w:r>
      <w:proofErr w:type="spellStart"/>
      <w:r w:rsidRPr="001F4573">
        <w:rPr>
          <w:rFonts w:ascii="Verdana" w:hAnsi="Verdana"/>
          <w:sz w:val="24"/>
          <w:szCs w:val="24"/>
        </w:rPr>
        <w:t>publiciana</w:t>
      </w:r>
      <w:proofErr w:type="spellEnd"/>
      <w:r w:rsidRPr="001F4573">
        <w:rPr>
          <w:rFonts w:ascii="Verdana" w:hAnsi="Verdana"/>
          <w:sz w:val="24"/>
          <w:szCs w:val="24"/>
        </w:rPr>
        <w:t xml:space="preserve"> (</w:t>
      </w:r>
      <w:proofErr w:type="spellStart"/>
      <w:r w:rsidRPr="001F4573">
        <w:rPr>
          <w:rFonts w:ascii="Verdana" w:hAnsi="Verdana"/>
          <w:i/>
          <w:iCs/>
          <w:sz w:val="24"/>
          <w:szCs w:val="24"/>
        </w:rPr>
        <w:t>actio</w:t>
      </w:r>
      <w:proofErr w:type="spellEnd"/>
      <w:r w:rsidRPr="001F4573">
        <w:rPr>
          <w:rFonts w:ascii="Verdana" w:hAnsi="Verdana"/>
          <w:i/>
          <w:iCs/>
          <w:sz w:val="24"/>
          <w:szCs w:val="24"/>
        </w:rPr>
        <w:t xml:space="preserve"> </w:t>
      </w:r>
      <w:proofErr w:type="spellStart"/>
      <w:r w:rsidRPr="001F4573">
        <w:rPr>
          <w:rFonts w:ascii="Verdana" w:hAnsi="Verdana"/>
          <w:i/>
          <w:iCs/>
          <w:sz w:val="24"/>
          <w:szCs w:val="24"/>
        </w:rPr>
        <w:t>utilis</w:t>
      </w:r>
      <w:proofErr w:type="spellEnd"/>
      <w:r w:rsidRPr="001F4573">
        <w:rPr>
          <w:rFonts w:ascii="Verdana" w:hAnsi="Verdana"/>
          <w:i/>
          <w:iCs/>
          <w:sz w:val="24"/>
          <w:szCs w:val="24"/>
        </w:rPr>
        <w:t xml:space="preserve"> </w:t>
      </w:r>
      <w:proofErr w:type="spellStart"/>
      <w:r w:rsidRPr="001F4573">
        <w:rPr>
          <w:rFonts w:ascii="Verdana" w:hAnsi="Verdana"/>
          <w:i/>
          <w:iCs/>
          <w:sz w:val="24"/>
          <w:szCs w:val="24"/>
        </w:rPr>
        <w:t>ficticia</w:t>
      </w:r>
      <w:proofErr w:type="spellEnd"/>
      <w:r w:rsidRPr="001F4573">
        <w:rPr>
          <w:rFonts w:ascii="Verdana" w:hAnsi="Verdana"/>
          <w:i/>
          <w:iCs/>
          <w:sz w:val="24"/>
          <w:szCs w:val="24"/>
        </w:rPr>
        <w:t xml:space="preserve"> in rem) </w:t>
      </w:r>
      <w:r w:rsidRPr="001F4573">
        <w:rPr>
          <w:rFonts w:ascii="Verdana" w:hAnsi="Verdana"/>
          <w:sz w:val="24"/>
          <w:szCs w:val="24"/>
        </w:rPr>
        <w:t xml:space="preserve">fondata sulla finzione di un prescrizione acquisitiva già compiuta quando il soggetto spossessato avesse acquistato in buona fede </w:t>
      </w:r>
      <w:proofErr w:type="spellStart"/>
      <w:r w:rsidRPr="005F2465">
        <w:rPr>
          <w:rFonts w:ascii="Verdana" w:hAnsi="Verdana"/>
          <w:i/>
          <w:sz w:val="24"/>
          <w:szCs w:val="24"/>
        </w:rPr>
        <w:t>cum</w:t>
      </w:r>
      <w:proofErr w:type="spellEnd"/>
      <w:r w:rsidRPr="005F2465">
        <w:rPr>
          <w:rFonts w:ascii="Verdana" w:hAnsi="Verdana"/>
          <w:i/>
          <w:sz w:val="24"/>
          <w:szCs w:val="24"/>
        </w:rPr>
        <w:t xml:space="preserve"> </w:t>
      </w:r>
      <w:proofErr w:type="spellStart"/>
      <w:r w:rsidRPr="005F2465">
        <w:rPr>
          <w:rFonts w:ascii="Verdana" w:hAnsi="Verdana"/>
          <w:i/>
          <w:sz w:val="24"/>
          <w:szCs w:val="24"/>
        </w:rPr>
        <w:t>iusta</w:t>
      </w:r>
      <w:proofErr w:type="spellEnd"/>
      <w:r w:rsidRPr="005F2465">
        <w:rPr>
          <w:rFonts w:ascii="Verdana" w:hAnsi="Verdana"/>
          <w:i/>
          <w:sz w:val="24"/>
          <w:szCs w:val="24"/>
        </w:rPr>
        <w:t xml:space="preserve"> causa</w:t>
      </w:r>
      <w:r w:rsidRPr="001F4573">
        <w:rPr>
          <w:rFonts w:ascii="Verdana" w:hAnsi="Verdana"/>
          <w:sz w:val="24"/>
          <w:szCs w:val="24"/>
        </w:rPr>
        <w:t xml:space="preserve">, alla prosecuzione della rivendicazione contro colui che “dolo </w:t>
      </w:r>
      <w:proofErr w:type="spellStart"/>
      <w:r w:rsidRPr="001F4573">
        <w:rPr>
          <w:rFonts w:ascii="Verdana" w:hAnsi="Verdana"/>
          <w:sz w:val="24"/>
          <w:szCs w:val="24"/>
        </w:rPr>
        <w:t>desiit</w:t>
      </w:r>
      <w:proofErr w:type="spellEnd"/>
      <w:r w:rsidRPr="001F4573">
        <w:rPr>
          <w:rFonts w:ascii="Verdana" w:hAnsi="Verdana"/>
          <w:sz w:val="24"/>
          <w:szCs w:val="24"/>
        </w:rPr>
        <w:t xml:space="preserve"> </w:t>
      </w:r>
      <w:proofErr w:type="spellStart"/>
      <w:r w:rsidRPr="001F4573">
        <w:rPr>
          <w:rFonts w:ascii="Verdana" w:hAnsi="Verdana"/>
          <w:sz w:val="24"/>
          <w:szCs w:val="24"/>
        </w:rPr>
        <w:t>possidere</w:t>
      </w:r>
      <w:proofErr w:type="spellEnd"/>
      <w:r w:rsidRPr="001F4573">
        <w:rPr>
          <w:rFonts w:ascii="Verdana" w:hAnsi="Verdana"/>
          <w:sz w:val="24"/>
          <w:szCs w:val="24"/>
        </w:rPr>
        <w:t>”, e via di seguito.</w:t>
      </w:r>
      <w:r w:rsidR="003A7416">
        <w:rPr>
          <w:rFonts w:ascii="Verdana" w:hAnsi="Verdana"/>
          <w:sz w:val="24"/>
          <w:szCs w:val="24"/>
        </w:rPr>
        <w:t xml:space="preserve"> Un’osservazione curiosa di A. Watson riguarda la </w:t>
      </w:r>
      <w:r w:rsidR="003A7416" w:rsidRPr="003A7416">
        <w:rPr>
          <w:rFonts w:ascii="Verdana" w:hAnsi="Verdana" w:cs="Courier New"/>
          <w:i/>
          <w:sz w:val="24"/>
          <w:szCs w:val="24"/>
        </w:rPr>
        <w:t xml:space="preserve">patria </w:t>
      </w:r>
      <w:proofErr w:type="spellStart"/>
      <w:r w:rsidR="003A7416" w:rsidRPr="003A7416">
        <w:rPr>
          <w:rFonts w:ascii="Verdana" w:hAnsi="Verdana" w:cs="Courier New"/>
          <w:i/>
          <w:sz w:val="24"/>
          <w:szCs w:val="24"/>
        </w:rPr>
        <w:t>postestas</w:t>
      </w:r>
      <w:proofErr w:type="spellEnd"/>
      <w:r w:rsidR="005F2465">
        <w:rPr>
          <w:rFonts w:ascii="Verdana" w:hAnsi="Verdana" w:cs="Courier New"/>
          <w:i/>
          <w:sz w:val="24"/>
          <w:szCs w:val="24"/>
        </w:rPr>
        <w:t>:</w:t>
      </w:r>
      <w:r w:rsidR="003A7416" w:rsidRPr="003A7416">
        <w:rPr>
          <w:rFonts w:ascii="Verdana" w:hAnsi="Verdana" w:cs="Courier New"/>
          <w:sz w:val="24"/>
          <w:szCs w:val="24"/>
        </w:rPr>
        <w:t xml:space="preserve"> i </w:t>
      </w:r>
      <w:r w:rsidR="005F2465">
        <w:rPr>
          <w:rFonts w:ascii="Verdana" w:hAnsi="Verdana" w:cs="Courier New"/>
          <w:sz w:val="24"/>
          <w:szCs w:val="24"/>
        </w:rPr>
        <w:t xml:space="preserve">giuristi </w:t>
      </w:r>
      <w:r w:rsidR="003A7416" w:rsidRPr="003A7416">
        <w:rPr>
          <w:rFonts w:ascii="Verdana" w:hAnsi="Verdana" w:cs="Courier New"/>
          <w:sz w:val="24"/>
          <w:szCs w:val="24"/>
        </w:rPr>
        <w:t xml:space="preserve">Romani passavano il loro tempo a </w:t>
      </w:r>
      <w:r w:rsidR="005F2465">
        <w:rPr>
          <w:rFonts w:ascii="Verdana" w:hAnsi="Verdana" w:cs="Courier New"/>
          <w:sz w:val="24"/>
          <w:szCs w:val="24"/>
        </w:rPr>
        <w:t xml:space="preserve"> </w:t>
      </w:r>
      <w:r w:rsidR="003A7416">
        <w:rPr>
          <w:rFonts w:ascii="Verdana" w:hAnsi="Verdana" w:cs="Courier New"/>
          <w:sz w:val="24"/>
          <w:szCs w:val="24"/>
        </w:rPr>
        <w:t>cercare di aggirare o eluder</w:t>
      </w:r>
      <w:r w:rsidR="003A7416" w:rsidRPr="003A7416">
        <w:rPr>
          <w:rFonts w:ascii="Verdana" w:hAnsi="Verdana" w:cs="Courier New"/>
          <w:sz w:val="24"/>
          <w:szCs w:val="24"/>
        </w:rPr>
        <w:t>e</w:t>
      </w:r>
      <w:r w:rsidR="005F2465">
        <w:rPr>
          <w:rFonts w:ascii="Verdana" w:hAnsi="Verdana" w:cs="Courier New"/>
          <w:sz w:val="24"/>
          <w:szCs w:val="24"/>
        </w:rPr>
        <w:t xml:space="preserve"> questa regola</w:t>
      </w:r>
      <w:r w:rsidR="003A7416">
        <w:rPr>
          <w:rStyle w:val="Rimandonotaapidipagina"/>
          <w:rFonts w:ascii="Verdana" w:hAnsi="Verdana" w:cs="Courier New"/>
          <w:sz w:val="24"/>
          <w:szCs w:val="24"/>
        </w:rPr>
        <w:footnoteReference w:id="1"/>
      </w:r>
      <w:r w:rsidR="005F2465">
        <w:rPr>
          <w:rFonts w:ascii="Verdana" w:hAnsi="Verdana" w:cs="Courier New"/>
          <w:sz w:val="24"/>
          <w:szCs w:val="24"/>
        </w:rPr>
        <w:t>.</w:t>
      </w:r>
    </w:p>
    <w:p w:rsidR="008579FB" w:rsidRDefault="008579FB" w:rsidP="000142D2">
      <w:pPr>
        <w:rPr>
          <w:rFonts w:ascii="Verdana" w:hAnsi="Verdana"/>
          <w:sz w:val="24"/>
          <w:szCs w:val="24"/>
        </w:rPr>
      </w:pPr>
      <w:r w:rsidRPr="001F4573">
        <w:rPr>
          <w:rFonts w:ascii="Verdana" w:hAnsi="Verdana"/>
          <w:sz w:val="24"/>
          <w:szCs w:val="24"/>
        </w:rPr>
        <w:t xml:space="preserve">Il </w:t>
      </w:r>
      <w:r w:rsidRPr="005F2465">
        <w:rPr>
          <w:rFonts w:ascii="Verdana" w:hAnsi="Verdana"/>
          <w:i/>
          <w:sz w:val="24"/>
          <w:szCs w:val="24"/>
        </w:rPr>
        <w:t>common law</w:t>
      </w:r>
      <w:r w:rsidR="005F2465" w:rsidRPr="005F2465">
        <w:rPr>
          <w:rFonts w:ascii="Verdana" w:hAnsi="Verdana"/>
          <w:sz w:val="24"/>
          <w:szCs w:val="24"/>
        </w:rPr>
        <w:t>,</w:t>
      </w:r>
      <w:r w:rsidRPr="005F2465">
        <w:rPr>
          <w:rFonts w:ascii="Verdana" w:hAnsi="Verdana"/>
          <w:sz w:val="24"/>
          <w:szCs w:val="24"/>
        </w:rPr>
        <w:t xml:space="preserve"> </w:t>
      </w:r>
      <w:r w:rsidRPr="001F4573">
        <w:rPr>
          <w:rFonts w:ascii="Verdana" w:hAnsi="Verdana"/>
          <w:sz w:val="24"/>
          <w:szCs w:val="24"/>
        </w:rPr>
        <w:t>a sua volta</w:t>
      </w:r>
      <w:r w:rsidR="005F2465">
        <w:rPr>
          <w:rFonts w:ascii="Verdana" w:hAnsi="Verdana"/>
          <w:sz w:val="24"/>
          <w:szCs w:val="24"/>
        </w:rPr>
        <w:t>,</w:t>
      </w:r>
      <w:r w:rsidRPr="001F4573">
        <w:rPr>
          <w:rFonts w:ascii="Verdana" w:hAnsi="Verdana"/>
          <w:sz w:val="24"/>
          <w:szCs w:val="24"/>
        </w:rPr>
        <w:t xml:space="preserve"> escogita innumerevoli finzioni per rendere i meccanismi dei rigidi </w:t>
      </w:r>
      <w:proofErr w:type="spellStart"/>
      <w:r w:rsidRPr="005F2465">
        <w:rPr>
          <w:rFonts w:ascii="Verdana" w:hAnsi="Verdana"/>
          <w:i/>
          <w:sz w:val="24"/>
          <w:szCs w:val="24"/>
        </w:rPr>
        <w:t>writs</w:t>
      </w:r>
      <w:proofErr w:type="spellEnd"/>
      <w:r w:rsidRPr="001F4573">
        <w:rPr>
          <w:rFonts w:ascii="Verdana" w:hAnsi="Verdana"/>
          <w:sz w:val="24"/>
          <w:szCs w:val="24"/>
        </w:rPr>
        <w:t xml:space="preserve"> adattabili alle nuove circostanze. Opere di dottrina molto sofisticate sono state dedicate a questo argomento. U</w:t>
      </w:r>
      <w:r w:rsidR="001F4573" w:rsidRPr="001F4573">
        <w:rPr>
          <w:rFonts w:ascii="Verdana" w:hAnsi="Verdana"/>
          <w:sz w:val="24"/>
          <w:szCs w:val="24"/>
        </w:rPr>
        <w:t>na</w:t>
      </w:r>
      <w:r w:rsidRPr="001F4573">
        <w:rPr>
          <w:rFonts w:ascii="Verdana" w:hAnsi="Verdana"/>
          <w:sz w:val="24"/>
          <w:szCs w:val="24"/>
        </w:rPr>
        <w:t xml:space="preserve"> delle monografie più note è </w:t>
      </w:r>
      <w:r w:rsidR="005F2465">
        <w:rPr>
          <w:rFonts w:ascii="Verdana" w:hAnsi="Verdana"/>
          <w:sz w:val="24"/>
          <w:szCs w:val="24"/>
        </w:rPr>
        <w:t>scritta da</w:t>
      </w:r>
      <w:r w:rsidRPr="001F4573">
        <w:rPr>
          <w:rFonts w:ascii="Verdana" w:hAnsi="Verdana"/>
          <w:sz w:val="24"/>
          <w:szCs w:val="24"/>
        </w:rPr>
        <w:t xml:space="preserve"> </w:t>
      </w:r>
      <w:proofErr w:type="spellStart"/>
      <w:r w:rsidRPr="001F4573">
        <w:rPr>
          <w:rFonts w:ascii="Verdana" w:hAnsi="Verdana"/>
          <w:sz w:val="24"/>
          <w:szCs w:val="24"/>
        </w:rPr>
        <w:t>Lon</w:t>
      </w:r>
      <w:proofErr w:type="spellEnd"/>
      <w:r w:rsidRPr="001F4573">
        <w:rPr>
          <w:rFonts w:ascii="Verdana" w:hAnsi="Verdana"/>
          <w:sz w:val="24"/>
          <w:szCs w:val="24"/>
        </w:rPr>
        <w:t xml:space="preserve"> </w:t>
      </w:r>
      <w:proofErr w:type="spellStart"/>
      <w:r w:rsidRPr="001F4573">
        <w:rPr>
          <w:rFonts w:ascii="Verdana" w:hAnsi="Verdana"/>
          <w:sz w:val="24"/>
          <w:szCs w:val="24"/>
        </w:rPr>
        <w:t>Fuller</w:t>
      </w:r>
      <w:proofErr w:type="spellEnd"/>
      <w:r w:rsidRPr="001F4573">
        <w:rPr>
          <w:rFonts w:ascii="Verdana" w:hAnsi="Verdana"/>
          <w:sz w:val="24"/>
          <w:szCs w:val="24"/>
        </w:rPr>
        <w:t xml:space="preserve">, </w:t>
      </w:r>
      <w:r w:rsidRPr="001F4573">
        <w:rPr>
          <w:rFonts w:ascii="Verdana" w:hAnsi="Verdana"/>
          <w:i/>
          <w:sz w:val="24"/>
          <w:szCs w:val="24"/>
        </w:rPr>
        <w:t xml:space="preserve">Legal </w:t>
      </w:r>
      <w:proofErr w:type="spellStart"/>
      <w:r w:rsidRPr="001F4573">
        <w:rPr>
          <w:rFonts w:ascii="Verdana" w:hAnsi="Verdana"/>
          <w:i/>
          <w:sz w:val="24"/>
          <w:szCs w:val="24"/>
        </w:rPr>
        <w:t>fictions</w:t>
      </w:r>
      <w:proofErr w:type="spellEnd"/>
      <w:r w:rsidRPr="001F4573">
        <w:rPr>
          <w:rFonts w:ascii="Verdana" w:hAnsi="Verdana"/>
          <w:sz w:val="24"/>
          <w:szCs w:val="24"/>
        </w:rPr>
        <w:t xml:space="preserve"> </w:t>
      </w:r>
      <w:r w:rsidR="001F4573">
        <w:rPr>
          <w:rFonts w:ascii="Verdana" w:hAnsi="Verdana"/>
          <w:sz w:val="24"/>
          <w:szCs w:val="24"/>
        </w:rPr>
        <w:t>(</w:t>
      </w:r>
      <w:r w:rsidR="001F4573" w:rsidRPr="001F4573">
        <w:rPr>
          <w:rFonts w:ascii="Verdana" w:hAnsi="Verdana"/>
          <w:sz w:val="24"/>
          <w:szCs w:val="24"/>
        </w:rPr>
        <w:t xml:space="preserve">Stanford </w:t>
      </w:r>
      <w:proofErr w:type="spellStart"/>
      <w:r w:rsidR="001F4573" w:rsidRPr="001F4573">
        <w:rPr>
          <w:rFonts w:ascii="Verdana" w:hAnsi="Verdana"/>
          <w:sz w:val="24"/>
          <w:szCs w:val="24"/>
        </w:rPr>
        <w:t>University</w:t>
      </w:r>
      <w:proofErr w:type="spellEnd"/>
      <w:r w:rsidR="001F4573" w:rsidRPr="001F4573">
        <w:rPr>
          <w:rFonts w:ascii="Verdana" w:hAnsi="Verdana"/>
          <w:sz w:val="24"/>
          <w:szCs w:val="24"/>
        </w:rPr>
        <w:t xml:space="preserve"> Press, 1967</w:t>
      </w:r>
      <w:r w:rsidR="001F4573">
        <w:rPr>
          <w:rFonts w:ascii="Verdana" w:hAnsi="Verdana"/>
          <w:sz w:val="24"/>
          <w:szCs w:val="24"/>
        </w:rPr>
        <w:t>)</w:t>
      </w:r>
      <w:r w:rsidR="001F4573" w:rsidRPr="001F4573">
        <w:rPr>
          <w:rFonts w:ascii="Verdana" w:hAnsi="Verdana"/>
          <w:sz w:val="24"/>
          <w:szCs w:val="24"/>
        </w:rPr>
        <w:t>.</w:t>
      </w:r>
      <w:r w:rsidRPr="001F4573">
        <w:rPr>
          <w:rFonts w:ascii="Verdana" w:hAnsi="Verdana"/>
          <w:sz w:val="24"/>
          <w:szCs w:val="24"/>
        </w:rPr>
        <w:t xml:space="preserve"> </w:t>
      </w:r>
    </w:p>
    <w:p w:rsidR="00F33D7A" w:rsidRDefault="001F4573">
      <w:pPr>
        <w:rPr>
          <w:rFonts w:ascii="Verdana" w:hAnsi="Verdana"/>
          <w:sz w:val="24"/>
          <w:szCs w:val="24"/>
        </w:rPr>
      </w:pPr>
      <w:r>
        <w:rPr>
          <w:rFonts w:ascii="Verdana" w:hAnsi="Verdana"/>
          <w:sz w:val="24"/>
          <w:szCs w:val="24"/>
        </w:rPr>
        <w:t xml:space="preserve">La necessità di forzare forme rigide di rimedi per fronteggiare nuove esigenze è analoga in </w:t>
      </w:r>
      <w:r w:rsidRPr="000142D2">
        <w:rPr>
          <w:rFonts w:ascii="Verdana" w:hAnsi="Verdana"/>
          <w:i/>
          <w:sz w:val="24"/>
          <w:szCs w:val="24"/>
        </w:rPr>
        <w:t>diritto romano</w:t>
      </w:r>
      <w:r>
        <w:rPr>
          <w:rFonts w:ascii="Verdana" w:hAnsi="Verdana"/>
          <w:sz w:val="24"/>
          <w:szCs w:val="24"/>
        </w:rPr>
        <w:t xml:space="preserve"> e </w:t>
      </w:r>
      <w:r w:rsidRPr="000142D2">
        <w:rPr>
          <w:rFonts w:ascii="Verdana" w:hAnsi="Verdana"/>
          <w:i/>
          <w:sz w:val="24"/>
          <w:szCs w:val="24"/>
        </w:rPr>
        <w:t>common law</w:t>
      </w:r>
      <w:r>
        <w:rPr>
          <w:rFonts w:ascii="Verdana" w:hAnsi="Verdana"/>
          <w:sz w:val="24"/>
          <w:szCs w:val="24"/>
        </w:rPr>
        <w:t xml:space="preserve">. Le finzioni tuttavia non coincidono: il lettore può essere sconcertato da talune. </w:t>
      </w:r>
    </w:p>
    <w:p w:rsidR="001F4573" w:rsidRDefault="001F4573">
      <w:pPr>
        <w:rPr>
          <w:rFonts w:ascii="Verdana" w:hAnsi="Verdana"/>
          <w:sz w:val="24"/>
          <w:szCs w:val="24"/>
        </w:rPr>
      </w:pPr>
      <w:r>
        <w:rPr>
          <w:rFonts w:ascii="Verdana" w:hAnsi="Verdana"/>
          <w:sz w:val="24"/>
          <w:szCs w:val="24"/>
        </w:rPr>
        <w:t>Molto caustico sull’argomento è ad esempio A. Watson quando descrive la situazione femminile nel medioevo. Il beneficio ecclesiastico che proteggeva il clero dalle sanzioni più severe venne progressivamente esteso tramite il procedimento di identificazione di chi potesse considerarsi appartenente al clero: il brano</w:t>
      </w:r>
      <w:r w:rsidR="005F2465">
        <w:rPr>
          <w:rFonts w:ascii="Verdana" w:hAnsi="Verdana"/>
          <w:sz w:val="24"/>
          <w:szCs w:val="24"/>
        </w:rPr>
        <w:t xml:space="preserve"> della Bibbia</w:t>
      </w:r>
      <w:r>
        <w:rPr>
          <w:rFonts w:ascii="Verdana" w:hAnsi="Verdana"/>
          <w:sz w:val="24"/>
          <w:szCs w:val="24"/>
        </w:rPr>
        <w:t xml:space="preserve"> da leggere </w:t>
      </w:r>
      <w:r w:rsidR="005F2465">
        <w:rPr>
          <w:rFonts w:ascii="Verdana" w:hAnsi="Verdana"/>
          <w:sz w:val="24"/>
          <w:szCs w:val="24"/>
        </w:rPr>
        <w:t xml:space="preserve">ad alta voce </w:t>
      </w:r>
      <w:r>
        <w:rPr>
          <w:rFonts w:ascii="Verdana" w:hAnsi="Verdana"/>
          <w:sz w:val="24"/>
          <w:szCs w:val="24"/>
        </w:rPr>
        <w:t>divenne fisso, così che anche gli analfabeti (certamente non religiosi, visto che l’ammissione al clero richiedeva la capacità di leggere almeno i testi sacri) furono sottratti alle pene più cruente, invocando la giurisdizione delle corti ecclesiastiche</w:t>
      </w:r>
      <w:r w:rsidR="005F2465">
        <w:rPr>
          <w:rFonts w:ascii="Verdana" w:hAnsi="Verdana"/>
          <w:sz w:val="24"/>
          <w:szCs w:val="24"/>
        </w:rPr>
        <w:t xml:space="preserve"> e recitando a memoria il brano richiesto</w:t>
      </w:r>
      <w:r>
        <w:rPr>
          <w:rFonts w:ascii="Verdana" w:hAnsi="Verdana"/>
          <w:sz w:val="24"/>
          <w:szCs w:val="24"/>
        </w:rPr>
        <w:t>.</w:t>
      </w:r>
    </w:p>
    <w:p w:rsidR="001F4573" w:rsidRDefault="001F4573" w:rsidP="00360F9C">
      <w:pPr>
        <w:pStyle w:val="Testonormale"/>
        <w:spacing w:line="276" w:lineRule="auto"/>
        <w:rPr>
          <w:rFonts w:ascii="Verdana" w:hAnsi="Verdana"/>
          <w:sz w:val="24"/>
          <w:szCs w:val="24"/>
        </w:rPr>
      </w:pPr>
      <w:r>
        <w:rPr>
          <w:rFonts w:ascii="Verdana" w:hAnsi="Verdana"/>
          <w:sz w:val="24"/>
          <w:szCs w:val="24"/>
        </w:rPr>
        <w:t>Per le donne si provvide diversamente: non potendo invocare la tutela della chiesa, si stabilì la presunzione (</w:t>
      </w:r>
      <w:r w:rsidR="003A7416">
        <w:rPr>
          <w:rFonts w:ascii="Verdana" w:hAnsi="Verdana"/>
          <w:sz w:val="24"/>
          <w:szCs w:val="24"/>
        </w:rPr>
        <w:t xml:space="preserve">o </w:t>
      </w:r>
      <w:r>
        <w:rPr>
          <w:rFonts w:ascii="Verdana" w:hAnsi="Verdana"/>
          <w:sz w:val="24"/>
          <w:szCs w:val="24"/>
        </w:rPr>
        <w:t>finzione</w:t>
      </w:r>
      <w:r w:rsidR="003A6F51">
        <w:rPr>
          <w:rFonts w:ascii="Verdana" w:hAnsi="Verdana"/>
          <w:sz w:val="24"/>
          <w:szCs w:val="24"/>
        </w:rPr>
        <w:t xml:space="preserve">, abrogata </w:t>
      </w:r>
      <w:r w:rsidR="003A7416">
        <w:rPr>
          <w:rFonts w:ascii="Verdana" w:hAnsi="Verdana"/>
          <w:sz w:val="24"/>
          <w:szCs w:val="24"/>
        </w:rPr>
        <w:t xml:space="preserve">solo </w:t>
      </w:r>
      <w:r w:rsidR="003A6F51">
        <w:rPr>
          <w:rFonts w:ascii="Verdana" w:hAnsi="Verdana"/>
          <w:sz w:val="24"/>
          <w:szCs w:val="24"/>
        </w:rPr>
        <w:t>nel 1925</w:t>
      </w:r>
      <w:r>
        <w:rPr>
          <w:rFonts w:ascii="Verdana" w:hAnsi="Verdana"/>
          <w:sz w:val="24"/>
          <w:szCs w:val="24"/>
        </w:rPr>
        <w:t xml:space="preserve">) che i crimini </w:t>
      </w:r>
      <w:r w:rsidR="003A6F51">
        <w:rPr>
          <w:rFonts w:ascii="Verdana" w:hAnsi="Verdana"/>
          <w:sz w:val="24"/>
          <w:szCs w:val="24"/>
        </w:rPr>
        <w:t>(</w:t>
      </w:r>
      <w:r w:rsidR="003A6F51" w:rsidRPr="003A7416">
        <w:rPr>
          <w:rFonts w:ascii="Verdana" w:hAnsi="Verdana" w:cs="Courier New"/>
          <w:sz w:val="24"/>
          <w:szCs w:val="24"/>
        </w:rPr>
        <w:t>diversi dall'omicidio o dal  tradimento)</w:t>
      </w:r>
      <w:r w:rsidR="003A6F51" w:rsidRPr="006A40F6">
        <w:rPr>
          <w:rFonts w:ascii="Courier New" w:hAnsi="Courier New" w:cs="Courier New"/>
        </w:rPr>
        <w:t xml:space="preserve"> </w:t>
      </w:r>
      <w:r>
        <w:rPr>
          <w:rFonts w:ascii="Verdana" w:hAnsi="Verdana"/>
          <w:sz w:val="24"/>
          <w:szCs w:val="24"/>
        </w:rPr>
        <w:t xml:space="preserve">commessi dalle donne fossero </w:t>
      </w:r>
      <w:r>
        <w:rPr>
          <w:rFonts w:ascii="Verdana" w:hAnsi="Verdana"/>
          <w:sz w:val="24"/>
          <w:szCs w:val="24"/>
        </w:rPr>
        <w:lastRenderedPageBreak/>
        <w:t>stati indotti dai mariti</w:t>
      </w:r>
      <w:r w:rsidR="003A7416">
        <w:rPr>
          <w:rFonts w:ascii="Verdana" w:hAnsi="Verdana"/>
          <w:sz w:val="24"/>
          <w:szCs w:val="24"/>
        </w:rPr>
        <w:t xml:space="preserve"> con costrizione fisica o morale</w:t>
      </w:r>
      <w:r>
        <w:rPr>
          <w:rFonts w:ascii="Verdana" w:hAnsi="Verdana"/>
          <w:sz w:val="24"/>
          <w:szCs w:val="24"/>
        </w:rPr>
        <w:t>. In questo modo le donne poterono sfuggire a loro volta alle forme più severe di punizione</w:t>
      </w:r>
      <w:r w:rsidR="003A6F51">
        <w:rPr>
          <w:rStyle w:val="Rimandonotaapidipagina"/>
          <w:rFonts w:ascii="Verdana" w:hAnsi="Verdana"/>
          <w:sz w:val="24"/>
          <w:szCs w:val="24"/>
        </w:rPr>
        <w:footnoteReference w:id="2"/>
      </w:r>
      <w:r>
        <w:rPr>
          <w:rFonts w:ascii="Verdana" w:hAnsi="Verdana"/>
          <w:sz w:val="24"/>
          <w:szCs w:val="24"/>
        </w:rPr>
        <w:t>.</w:t>
      </w:r>
    </w:p>
    <w:p w:rsidR="003A7416" w:rsidRDefault="00706067" w:rsidP="00360F9C">
      <w:pPr>
        <w:pStyle w:val="Testonormale"/>
        <w:spacing w:line="276" w:lineRule="auto"/>
        <w:rPr>
          <w:rFonts w:ascii="Verdana" w:hAnsi="Verdana" w:cs="Courier New"/>
          <w:sz w:val="24"/>
          <w:szCs w:val="24"/>
        </w:rPr>
      </w:pPr>
      <w:r w:rsidRPr="00E507EB">
        <w:rPr>
          <w:rFonts w:ascii="Verdana" w:hAnsi="Verdana" w:cs="Courier New"/>
          <w:sz w:val="24"/>
          <w:szCs w:val="24"/>
        </w:rPr>
        <w:t xml:space="preserve">L’esperienza inglese si arricchisce di finzioni per la compresenza di due giurisdizioni parallele per molti secoli: quella delle corti regie (common law) e quella del Cancelliere (corti di </w:t>
      </w:r>
      <w:proofErr w:type="spellStart"/>
      <w:r w:rsidRPr="00E507EB">
        <w:rPr>
          <w:rFonts w:ascii="Verdana" w:hAnsi="Verdana" w:cs="Courier New"/>
          <w:sz w:val="24"/>
          <w:szCs w:val="24"/>
        </w:rPr>
        <w:t>equity</w:t>
      </w:r>
      <w:proofErr w:type="spellEnd"/>
      <w:r w:rsidRPr="00E507EB">
        <w:rPr>
          <w:rFonts w:ascii="Verdana" w:hAnsi="Verdana" w:cs="Courier New"/>
          <w:sz w:val="24"/>
          <w:szCs w:val="24"/>
        </w:rPr>
        <w:t>)</w:t>
      </w:r>
      <w:r w:rsidR="00E507EB">
        <w:rPr>
          <w:rFonts w:ascii="Verdana" w:hAnsi="Verdana" w:cs="Courier New"/>
          <w:sz w:val="24"/>
          <w:szCs w:val="24"/>
        </w:rPr>
        <w:t>.</w:t>
      </w:r>
    </w:p>
    <w:p w:rsidR="003A7416" w:rsidRDefault="00E507EB" w:rsidP="00360F9C">
      <w:pPr>
        <w:pStyle w:val="Testonormale"/>
        <w:spacing w:line="276" w:lineRule="auto"/>
        <w:rPr>
          <w:rFonts w:ascii="Verdana" w:hAnsi="Verdana" w:cs="Courier New"/>
          <w:sz w:val="24"/>
          <w:szCs w:val="24"/>
        </w:rPr>
      </w:pPr>
      <w:r>
        <w:rPr>
          <w:rFonts w:ascii="Verdana" w:hAnsi="Verdana" w:cs="Courier New"/>
          <w:sz w:val="24"/>
          <w:szCs w:val="24"/>
        </w:rPr>
        <w:t>Per evitare conflitti aperti, sfide e ritorsioni, le corti si addestrarono a stratagemmi che svuotavano i rimedi altrui senza entrare in linea di aperta collisione. In sostanza il diritto “</w:t>
      </w:r>
      <w:proofErr w:type="spellStart"/>
      <w:r>
        <w:rPr>
          <w:rFonts w:ascii="Verdana" w:hAnsi="Verdana" w:cs="Courier New"/>
          <w:sz w:val="24"/>
          <w:szCs w:val="24"/>
        </w:rPr>
        <w:t>at</w:t>
      </w:r>
      <w:proofErr w:type="spellEnd"/>
      <w:r>
        <w:rPr>
          <w:rFonts w:ascii="Verdana" w:hAnsi="Verdana" w:cs="Courier New"/>
          <w:sz w:val="24"/>
          <w:szCs w:val="24"/>
        </w:rPr>
        <w:t xml:space="preserve"> law” veniva riconosciuto, ma i suoi esiti erano </w:t>
      </w:r>
      <w:r w:rsidR="005F2465">
        <w:rPr>
          <w:rFonts w:ascii="Verdana" w:hAnsi="Verdana" w:cs="Courier New"/>
          <w:sz w:val="24"/>
          <w:szCs w:val="24"/>
        </w:rPr>
        <w:t>neutralizzati</w:t>
      </w:r>
      <w:r>
        <w:rPr>
          <w:rFonts w:ascii="Verdana" w:hAnsi="Verdana" w:cs="Courier New"/>
          <w:sz w:val="24"/>
          <w:szCs w:val="24"/>
        </w:rPr>
        <w:t xml:space="preserve"> in </w:t>
      </w:r>
      <w:proofErr w:type="spellStart"/>
      <w:r>
        <w:rPr>
          <w:rFonts w:ascii="Verdana" w:hAnsi="Verdana" w:cs="Courier New"/>
          <w:sz w:val="24"/>
          <w:szCs w:val="24"/>
        </w:rPr>
        <w:t>equity</w:t>
      </w:r>
      <w:proofErr w:type="spellEnd"/>
      <w:r>
        <w:rPr>
          <w:rFonts w:ascii="Verdana" w:hAnsi="Verdana" w:cs="Courier New"/>
          <w:sz w:val="24"/>
          <w:szCs w:val="24"/>
        </w:rPr>
        <w:t>.</w:t>
      </w:r>
      <w:r w:rsidR="005F2465">
        <w:rPr>
          <w:rFonts w:ascii="Verdana" w:hAnsi="Verdana" w:cs="Courier New"/>
          <w:sz w:val="24"/>
          <w:szCs w:val="24"/>
        </w:rPr>
        <w:t xml:space="preserve"> L’ipotesi più evidente è forse quella del “</w:t>
      </w:r>
      <w:proofErr w:type="spellStart"/>
      <w:r w:rsidR="005F2465">
        <w:rPr>
          <w:rFonts w:ascii="Verdana" w:hAnsi="Verdana" w:cs="Courier New"/>
          <w:sz w:val="24"/>
          <w:szCs w:val="24"/>
        </w:rPr>
        <w:t>constructive</w:t>
      </w:r>
      <w:proofErr w:type="spellEnd"/>
      <w:r w:rsidR="005F2465">
        <w:rPr>
          <w:rFonts w:ascii="Verdana" w:hAnsi="Verdana" w:cs="Courier New"/>
          <w:sz w:val="24"/>
          <w:szCs w:val="24"/>
        </w:rPr>
        <w:t xml:space="preserve"> trust”. Quando taluni beni sono affidati ad altri (senza la costituzione formale di un trust), le corti possono </w:t>
      </w:r>
      <w:r w:rsidR="005F2465" w:rsidRPr="001A1F53">
        <w:rPr>
          <w:rFonts w:ascii="Verdana" w:hAnsi="Verdana" w:cs="Courier New"/>
          <w:i/>
          <w:sz w:val="24"/>
          <w:szCs w:val="24"/>
        </w:rPr>
        <w:t>a posteriori</w:t>
      </w:r>
      <w:r w:rsidR="005F2465">
        <w:rPr>
          <w:rFonts w:ascii="Verdana" w:hAnsi="Verdana" w:cs="Courier New"/>
          <w:sz w:val="24"/>
          <w:szCs w:val="24"/>
        </w:rPr>
        <w:t xml:space="preserve"> ritenere che fosse stato creato un trust che consente al fiduciante di recuperare i beni</w:t>
      </w:r>
      <w:r w:rsidR="001A1F53">
        <w:rPr>
          <w:rFonts w:ascii="Verdana" w:hAnsi="Verdana" w:cs="Courier New"/>
          <w:sz w:val="24"/>
          <w:szCs w:val="24"/>
        </w:rPr>
        <w:t>:</w:t>
      </w:r>
      <w:r w:rsidR="005F2465">
        <w:rPr>
          <w:rFonts w:ascii="Verdana" w:hAnsi="Verdana" w:cs="Courier New"/>
          <w:sz w:val="24"/>
          <w:szCs w:val="24"/>
        </w:rPr>
        <w:t xml:space="preserve"> non solo nei confronti di chi li ha ricevuti, ma anche nei confronti di terzi che li abbiano avuti gratuitamente. </w:t>
      </w:r>
      <w:r w:rsidR="005027D3">
        <w:rPr>
          <w:rFonts w:ascii="Verdana" w:hAnsi="Verdana" w:cs="Courier New"/>
          <w:sz w:val="24"/>
          <w:szCs w:val="24"/>
        </w:rPr>
        <w:t xml:space="preserve">Alternativamente al fiduciante è data la somma ricevuta dal fiduciario infedele in cambio dei beni alienati. </w:t>
      </w:r>
    </w:p>
    <w:p w:rsidR="001A1F53" w:rsidRDefault="001A1F53" w:rsidP="00360F9C">
      <w:pPr>
        <w:pStyle w:val="Testonormale"/>
        <w:spacing w:line="276" w:lineRule="auto"/>
        <w:rPr>
          <w:rFonts w:ascii="Verdana" w:hAnsi="Verdana" w:cs="Courier New"/>
          <w:sz w:val="24"/>
          <w:szCs w:val="24"/>
        </w:rPr>
      </w:pPr>
      <w:r>
        <w:rPr>
          <w:rFonts w:ascii="Verdana" w:hAnsi="Verdana" w:cs="Courier New"/>
          <w:sz w:val="24"/>
          <w:szCs w:val="24"/>
        </w:rPr>
        <w:t>Ogni volta che un istituto è accompagnato dal termine “</w:t>
      </w:r>
      <w:proofErr w:type="spellStart"/>
      <w:r>
        <w:rPr>
          <w:rFonts w:ascii="Verdana" w:hAnsi="Verdana" w:cs="Courier New"/>
          <w:sz w:val="24"/>
          <w:szCs w:val="24"/>
        </w:rPr>
        <w:t>constructive</w:t>
      </w:r>
      <w:proofErr w:type="spellEnd"/>
      <w:r>
        <w:rPr>
          <w:rFonts w:ascii="Verdana" w:hAnsi="Verdana" w:cs="Courier New"/>
          <w:sz w:val="24"/>
          <w:szCs w:val="24"/>
        </w:rPr>
        <w:t xml:space="preserve">” il lettore dev’esser messo sull’avviso che si sta addentrando in un ambiente ipotetico, di costruzioni giuridiche che corrispondono a verità non naturali ma artificiali. </w:t>
      </w:r>
    </w:p>
    <w:p w:rsidR="000142D2" w:rsidRDefault="00875044" w:rsidP="000142D2">
      <w:pPr>
        <w:pStyle w:val="Testonormale"/>
        <w:spacing w:line="276" w:lineRule="auto"/>
        <w:rPr>
          <w:rFonts w:ascii="Verdana" w:hAnsi="Verdana" w:cs="Courier New"/>
          <w:sz w:val="24"/>
          <w:szCs w:val="24"/>
        </w:rPr>
      </w:pPr>
      <w:r>
        <w:rPr>
          <w:rFonts w:ascii="Verdana" w:hAnsi="Verdana" w:cs="Courier New"/>
          <w:sz w:val="24"/>
          <w:szCs w:val="24"/>
        </w:rPr>
        <w:t xml:space="preserve">In altri capitoli abbiamo evocato il </w:t>
      </w:r>
      <w:proofErr w:type="spellStart"/>
      <w:r>
        <w:rPr>
          <w:rFonts w:ascii="Verdana" w:hAnsi="Verdana" w:cs="Courier New"/>
          <w:sz w:val="24"/>
          <w:szCs w:val="24"/>
        </w:rPr>
        <w:t>trespass</w:t>
      </w:r>
      <w:proofErr w:type="spellEnd"/>
      <w:r>
        <w:rPr>
          <w:rFonts w:ascii="Verdana" w:hAnsi="Verdana" w:cs="Courier New"/>
          <w:sz w:val="24"/>
          <w:szCs w:val="24"/>
        </w:rPr>
        <w:t xml:space="preserve"> “ab </w:t>
      </w:r>
      <w:proofErr w:type="spellStart"/>
      <w:r>
        <w:rPr>
          <w:rFonts w:ascii="Verdana" w:hAnsi="Verdana" w:cs="Courier New"/>
          <w:sz w:val="24"/>
          <w:szCs w:val="24"/>
        </w:rPr>
        <w:t>initio</w:t>
      </w:r>
      <w:proofErr w:type="spellEnd"/>
      <w:r>
        <w:rPr>
          <w:rFonts w:ascii="Verdana" w:hAnsi="Verdana" w:cs="Courier New"/>
          <w:sz w:val="24"/>
          <w:szCs w:val="24"/>
        </w:rPr>
        <w:t>”, il “</w:t>
      </w:r>
      <w:proofErr w:type="spellStart"/>
      <w:r>
        <w:rPr>
          <w:rFonts w:ascii="Verdana" w:hAnsi="Verdana" w:cs="Courier New"/>
          <w:sz w:val="24"/>
          <w:szCs w:val="24"/>
        </w:rPr>
        <w:t>nominal</w:t>
      </w:r>
      <w:proofErr w:type="spellEnd"/>
      <w:r>
        <w:rPr>
          <w:rFonts w:ascii="Verdana" w:hAnsi="Verdana" w:cs="Courier New"/>
          <w:sz w:val="24"/>
          <w:szCs w:val="24"/>
        </w:rPr>
        <w:t xml:space="preserve"> </w:t>
      </w:r>
      <w:proofErr w:type="spellStart"/>
      <w:r>
        <w:rPr>
          <w:rFonts w:ascii="Verdana" w:hAnsi="Verdana" w:cs="Courier New"/>
          <w:sz w:val="24"/>
          <w:szCs w:val="24"/>
        </w:rPr>
        <w:t>damage</w:t>
      </w:r>
      <w:proofErr w:type="spellEnd"/>
      <w:r>
        <w:rPr>
          <w:rFonts w:ascii="Verdana" w:hAnsi="Verdana" w:cs="Courier New"/>
          <w:sz w:val="24"/>
          <w:szCs w:val="24"/>
        </w:rPr>
        <w:t>” (indennizzo simbolico, non corrispondente ad una perdita quantificata): costruzioni dell’ingegnosa fantasia degli avvocati nei secoli.</w:t>
      </w:r>
      <w:r w:rsidR="000142D2">
        <w:rPr>
          <w:rFonts w:ascii="Verdana" w:hAnsi="Verdana" w:cs="Courier New"/>
          <w:sz w:val="24"/>
          <w:szCs w:val="24"/>
        </w:rPr>
        <w:t xml:space="preserve"> </w:t>
      </w:r>
    </w:p>
    <w:p w:rsidR="00E9115D" w:rsidRPr="000142D2" w:rsidRDefault="00360F9C" w:rsidP="000142D2">
      <w:pPr>
        <w:pStyle w:val="Testonormale"/>
        <w:spacing w:line="276" w:lineRule="auto"/>
        <w:rPr>
          <w:rFonts w:ascii="Verdana" w:hAnsi="Verdana" w:cs="Courier New"/>
          <w:sz w:val="24"/>
          <w:szCs w:val="24"/>
        </w:rPr>
      </w:pPr>
      <w:r w:rsidRPr="000142D2">
        <w:rPr>
          <w:rFonts w:ascii="Verdana" w:hAnsi="Verdana" w:cs="Courier New"/>
          <w:sz w:val="24"/>
          <w:szCs w:val="24"/>
        </w:rPr>
        <w:t xml:space="preserve">L’esempio più emblematico delle rigidità dei rimedi presso le corti regie </w:t>
      </w:r>
      <w:r w:rsidR="00E9115D" w:rsidRPr="000142D2">
        <w:rPr>
          <w:rFonts w:ascii="Verdana" w:hAnsi="Verdana" w:cs="Courier New"/>
          <w:sz w:val="24"/>
          <w:szCs w:val="24"/>
        </w:rPr>
        <w:t xml:space="preserve">(e della ingegnosità nel trovare finzioni per fronteggiare la difficoltà) </w:t>
      </w:r>
      <w:r w:rsidRPr="000142D2">
        <w:rPr>
          <w:rFonts w:ascii="Verdana" w:hAnsi="Verdana" w:cs="Courier New"/>
          <w:sz w:val="24"/>
          <w:szCs w:val="24"/>
        </w:rPr>
        <w:t xml:space="preserve">è costituito dalla difesa del possesso terriero. </w:t>
      </w:r>
    </w:p>
    <w:p w:rsidR="00407000" w:rsidRDefault="00360F9C" w:rsidP="00407000">
      <w:pPr>
        <w:pStyle w:val="NormaleWeb"/>
        <w:spacing w:line="276" w:lineRule="auto"/>
        <w:rPr>
          <w:rFonts w:ascii="Verdana" w:hAnsi="Verdana" w:cs="Courier New"/>
          <w:i/>
        </w:rPr>
      </w:pPr>
      <w:r>
        <w:rPr>
          <w:rFonts w:ascii="Verdana" w:hAnsi="Verdana" w:cs="Courier New"/>
        </w:rPr>
        <w:t xml:space="preserve">Le </w:t>
      </w:r>
      <w:proofErr w:type="spellStart"/>
      <w:r w:rsidRPr="00407000">
        <w:rPr>
          <w:rFonts w:ascii="Verdana" w:hAnsi="Verdana" w:cs="Courier New"/>
          <w:i/>
        </w:rPr>
        <w:t>real</w:t>
      </w:r>
      <w:proofErr w:type="spellEnd"/>
      <w:r w:rsidRPr="00407000">
        <w:rPr>
          <w:rFonts w:ascii="Verdana" w:hAnsi="Verdana" w:cs="Courier New"/>
          <w:i/>
        </w:rPr>
        <w:t xml:space="preserve"> </w:t>
      </w:r>
      <w:proofErr w:type="spellStart"/>
      <w:r w:rsidRPr="00407000">
        <w:rPr>
          <w:rFonts w:ascii="Verdana" w:hAnsi="Verdana" w:cs="Courier New"/>
          <w:i/>
        </w:rPr>
        <w:t>actions</w:t>
      </w:r>
      <w:proofErr w:type="spellEnd"/>
      <w:r>
        <w:rPr>
          <w:rFonts w:ascii="Verdana" w:hAnsi="Verdana" w:cs="Courier New"/>
        </w:rPr>
        <w:t>, sviluppate per prime, garantivano la restituzione dell’immobile, ma non erano acces</w:t>
      </w:r>
      <w:r w:rsidR="00407000">
        <w:rPr>
          <w:rFonts w:ascii="Verdana" w:hAnsi="Verdana" w:cs="Courier New"/>
        </w:rPr>
        <w:t xml:space="preserve">sibili a chi avesse sul bene un’investitura </w:t>
      </w:r>
      <w:r>
        <w:rPr>
          <w:rFonts w:ascii="Verdana" w:hAnsi="Verdana" w:cs="Courier New"/>
        </w:rPr>
        <w:t>meno elevat</w:t>
      </w:r>
      <w:r w:rsidR="00407000">
        <w:rPr>
          <w:rFonts w:ascii="Verdana" w:hAnsi="Verdana" w:cs="Courier New"/>
        </w:rPr>
        <w:t>a</w:t>
      </w:r>
      <w:r>
        <w:rPr>
          <w:rFonts w:ascii="Verdana" w:hAnsi="Verdana" w:cs="Courier New"/>
        </w:rPr>
        <w:t xml:space="preserve">, </w:t>
      </w:r>
      <w:r w:rsidR="00255AFE">
        <w:rPr>
          <w:rFonts w:ascii="Verdana" w:hAnsi="Verdana" w:cs="Courier New"/>
        </w:rPr>
        <w:t xml:space="preserve">non feudale, </w:t>
      </w:r>
      <w:r>
        <w:rPr>
          <w:rFonts w:ascii="Verdana" w:hAnsi="Verdana" w:cs="Courier New"/>
        </w:rPr>
        <w:t xml:space="preserve">come i titolari di godimenti transitori (contro pagamento di un canone), detti </w:t>
      </w:r>
      <w:proofErr w:type="spellStart"/>
      <w:r w:rsidRPr="00360F9C">
        <w:rPr>
          <w:rFonts w:ascii="Verdana" w:hAnsi="Verdana" w:cs="Courier New"/>
          <w:i/>
        </w:rPr>
        <w:t>leases</w:t>
      </w:r>
      <w:proofErr w:type="spellEnd"/>
      <w:r>
        <w:rPr>
          <w:rFonts w:ascii="Verdana" w:hAnsi="Verdana" w:cs="Courier New"/>
          <w:i/>
        </w:rPr>
        <w:t xml:space="preserve">. </w:t>
      </w:r>
    </w:p>
    <w:p w:rsidR="00E9115D" w:rsidRDefault="00360F9C" w:rsidP="00407000">
      <w:pPr>
        <w:pStyle w:val="NormaleWeb"/>
        <w:spacing w:line="276" w:lineRule="auto"/>
        <w:rPr>
          <w:rFonts w:ascii="Verdana" w:hAnsi="Verdana" w:cs="Courier New"/>
        </w:rPr>
      </w:pPr>
      <w:r>
        <w:rPr>
          <w:rFonts w:ascii="Verdana" w:hAnsi="Verdana" w:cs="Courier New"/>
        </w:rPr>
        <w:t>Per questi rapporti</w:t>
      </w:r>
      <w:r w:rsidR="00407000">
        <w:rPr>
          <w:rFonts w:ascii="Verdana" w:hAnsi="Verdana" w:cs="Courier New"/>
        </w:rPr>
        <w:t>,</w:t>
      </w:r>
      <w:r>
        <w:rPr>
          <w:rFonts w:ascii="Verdana" w:hAnsi="Verdana" w:cs="Courier New"/>
        </w:rPr>
        <w:t xml:space="preserve"> il sistema delle corti elaborò una variante del </w:t>
      </w:r>
      <w:proofErr w:type="spellStart"/>
      <w:r w:rsidRPr="00407000">
        <w:rPr>
          <w:rFonts w:ascii="Verdana" w:hAnsi="Verdana" w:cs="Courier New"/>
          <w:i/>
        </w:rPr>
        <w:t>trespass</w:t>
      </w:r>
      <w:proofErr w:type="spellEnd"/>
      <w:r>
        <w:rPr>
          <w:rFonts w:ascii="Verdana" w:hAnsi="Verdana" w:cs="Courier New"/>
        </w:rPr>
        <w:t>: chi fosse stato espulso</w:t>
      </w:r>
      <w:r w:rsidR="00407000">
        <w:rPr>
          <w:rFonts w:ascii="Verdana" w:hAnsi="Verdana" w:cs="Courier New"/>
        </w:rPr>
        <w:t xml:space="preserve"> dal suo immobile</w:t>
      </w:r>
      <w:r>
        <w:rPr>
          <w:rFonts w:ascii="Verdana" w:hAnsi="Verdana" w:cs="Courier New"/>
        </w:rPr>
        <w:t xml:space="preserve">, avrebbe potuto agire per </w:t>
      </w:r>
      <w:proofErr w:type="spellStart"/>
      <w:r w:rsidRPr="00407000">
        <w:rPr>
          <w:rFonts w:ascii="Verdana" w:hAnsi="Verdana" w:cs="Courier New"/>
          <w:i/>
        </w:rPr>
        <w:t>ejectment</w:t>
      </w:r>
      <w:proofErr w:type="spellEnd"/>
      <w:r>
        <w:rPr>
          <w:rFonts w:ascii="Verdana" w:hAnsi="Verdana" w:cs="Courier New"/>
        </w:rPr>
        <w:t xml:space="preserve"> (“</w:t>
      </w:r>
      <w:proofErr w:type="spellStart"/>
      <w:r w:rsidRPr="00E9115D">
        <w:rPr>
          <w:rFonts w:ascii="Verdana" w:hAnsi="Verdana" w:cs="Courier New"/>
          <w:i/>
        </w:rPr>
        <w:t>quia</w:t>
      </w:r>
      <w:proofErr w:type="spellEnd"/>
      <w:r w:rsidRPr="00E9115D">
        <w:rPr>
          <w:rFonts w:ascii="Verdana" w:hAnsi="Verdana" w:cs="Courier New"/>
          <w:i/>
        </w:rPr>
        <w:t xml:space="preserve"> </w:t>
      </w:r>
      <w:proofErr w:type="spellStart"/>
      <w:r w:rsidRPr="00E9115D">
        <w:rPr>
          <w:rFonts w:ascii="Verdana" w:hAnsi="Verdana" w:cs="Courier New"/>
          <w:i/>
        </w:rPr>
        <w:t>ejecit</w:t>
      </w:r>
      <w:proofErr w:type="spellEnd"/>
      <w:r w:rsidRPr="00E9115D">
        <w:rPr>
          <w:rFonts w:ascii="Verdana" w:hAnsi="Verdana" w:cs="Courier New"/>
          <w:i/>
        </w:rPr>
        <w:t xml:space="preserve"> infra </w:t>
      </w:r>
      <w:proofErr w:type="spellStart"/>
      <w:r w:rsidRPr="00E9115D">
        <w:rPr>
          <w:rFonts w:ascii="Verdana" w:hAnsi="Verdana" w:cs="Courier New"/>
          <w:i/>
        </w:rPr>
        <w:t>terminum</w:t>
      </w:r>
      <w:proofErr w:type="spellEnd"/>
      <w:r>
        <w:rPr>
          <w:rFonts w:ascii="Verdana" w:hAnsi="Verdana" w:cs="Courier New"/>
        </w:rPr>
        <w:t>”</w:t>
      </w:r>
      <w:r w:rsidR="00255AFE">
        <w:rPr>
          <w:rFonts w:ascii="Verdana" w:hAnsi="Verdana" w:cs="Courier New"/>
        </w:rPr>
        <w:t xml:space="preserve"> e </w:t>
      </w:r>
      <w:proofErr w:type="spellStart"/>
      <w:r w:rsidR="00255AFE" w:rsidRPr="00407000">
        <w:rPr>
          <w:rFonts w:ascii="Verdana" w:hAnsi="Verdana"/>
          <w:i/>
          <w:snapToGrid w:val="0"/>
        </w:rPr>
        <w:t>writ</w:t>
      </w:r>
      <w:proofErr w:type="spellEnd"/>
      <w:r w:rsidR="00255AFE" w:rsidRPr="00407000">
        <w:rPr>
          <w:rFonts w:ascii="Verdana" w:hAnsi="Verdana"/>
          <w:i/>
          <w:snapToGrid w:val="0"/>
        </w:rPr>
        <w:t xml:space="preserve"> de </w:t>
      </w:r>
      <w:proofErr w:type="spellStart"/>
      <w:r w:rsidR="00255AFE" w:rsidRPr="00407000">
        <w:rPr>
          <w:rFonts w:ascii="Verdana" w:hAnsi="Verdana"/>
          <w:i/>
          <w:snapToGrid w:val="0"/>
        </w:rPr>
        <w:t>ejectione</w:t>
      </w:r>
      <w:proofErr w:type="spellEnd"/>
      <w:r w:rsidR="00255AFE" w:rsidRPr="00407000">
        <w:rPr>
          <w:rFonts w:ascii="Verdana" w:hAnsi="Verdana"/>
          <w:i/>
          <w:snapToGrid w:val="0"/>
        </w:rPr>
        <w:t xml:space="preserve"> </w:t>
      </w:r>
      <w:proofErr w:type="spellStart"/>
      <w:r w:rsidR="00255AFE" w:rsidRPr="00407000">
        <w:rPr>
          <w:rFonts w:ascii="Verdana" w:hAnsi="Verdana"/>
          <w:i/>
          <w:snapToGrid w:val="0"/>
        </w:rPr>
        <w:t>firmae</w:t>
      </w:r>
      <w:proofErr w:type="spellEnd"/>
      <w:r>
        <w:rPr>
          <w:rFonts w:ascii="Verdana" w:hAnsi="Verdana" w:cs="Courier New"/>
        </w:rPr>
        <w:t>). Per motivi di carattere procedurale</w:t>
      </w:r>
      <w:r w:rsidR="00E9115D">
        <w:rPr>
          <w:rStyle w:val="Rimandonotaapidipagina"/>
          <w:rFonts w:ascii="Verdana" w:hAnsi="Verdana" w:cs="Courier New"/>
        </w:rPr>
        <w:footnoteReference w:id="3"/>
      </w:r>
      <w:r w:rsidR="00407000">
        <w:rPr>
          <w:rFonts w:ascii="Verdana" w:hAnsi="Verdana" w:cs="Courier New"/>
        </w:rPr>
        <w:t>,</w:t>
      </w:r>
      <w:r>
        <w:rPr>
          <w:rFonts w:ascii="Verdana" w:hAnsi="Verdana" w:cs="Courier New"/>
        </w:rPr>
        <w:t xml:space="preserve"> ad un certo punto anche i titolari di </w:t>
      </w:r>
      <w:proofErr w:type="spellStart"/>
      <w:r>
        <w:rPr>
          <w:rFonts w:ascii="Verdana" w:hAnsi="Verdana" w:cs="Courier New"/>
        </w:rPr>
        <w:t>real</w:t>
      </w:r>
      <w:proofErr w:type="spellEnd"/>
      <w:r>
        <w:rPr>
          <w:rFonts w:ascii="Verdana" w:hAnsi="Verdana" w:cs="Courier New"/>
        </w:rPr>
        <w:t xml:space="preserve"> </w:t>
      </w:r>
      <w:proofErr w:type="spellStart"/>
      <w:r>
        <w:rPr>
          <w:rFonts w:ascii="Verdana" w:hAnsi="Verdana" w:cs="Courier New"/>
        </w:rPr>
        <w:t>property</w:t>
      </w:r>
      <w:proofErr w:type="spellEnd"/>
      <w:r>
        <w:rPr>
          <w:rFonts w:ascii="Verdana" w:hAnsi="Verdana" w:cs="Courier New"/>
        </w:rPr>
        <w:t xml:space="preserve"> (</w:t>
      </w:r>
      <w:proofErr w:type="spellStart"/>
      <w:r>
        <w:rPr>
          <w:rFonts w:ascii="Verdana" w:hAnsi="Verdana" w:cs="Courier New"/>
        </w:rPr>
        <w:t>freeholder</w:t>
      </w:r>
      <w:r w:rsidR="00407000">
        <w:rPr>
          <w:rFonts w:ascii="Verdana" w:hAnsi="Verdana" w:cs="Courier New"/>
        </w:rPr>
        <w:t>s</w:t>
      </w:r>
      <w:proofErr w:type="spellEnd"/>
      <w:r>
        <w:rPr>
          <w:rFonts w:ascii="Verdana" w:hAnsi="Verdana" w:cs="Courier New"/>
        </w:rPr>
        <w:t>,</w:t>
      </w:r>
      <w:r w:rsidR="00E9115D">
        <w:rPr>
          <w:rFonts w:ascii="Verdana" w:hAnsi="Verdana" w:cs="Courier New"/>
        </w:rPr>
        <w:t xml:space="preserve"> o </w:t>
      </w:r>
      <w:r w:rsidR="00E9115D">
        <w:rPr>
          <w:rFonts w:ascii="Verdana" w:hAnsi="Verdana" w:cs="Courier New"/>
        </w:rPr>
        <w:lastRenderedPageBreak/>
        <w:t>titolar</w:t>
      </w:r>
      <w:r w:rsidR="000142D2">
        <w:rPr>
          <w:rFonts w:ascii="Verdana" w:hAnsi="Verdana" w:cs="Courier New"/>
        </w:rPr>
        <w:t>i</w:t>
      </w:r>
      <w:r w:rsidR="00E9115D">
        <w:rPr>
          <w:rFonts w:ascii="Verdana" w:hAnsi="Verdana" w:cs="Courier New"/>
        </w:rPr>
        <w:t xml:space="preserve"> di </w:t>
      </w:r>
      <w:r w:rsidR="00890E03">
        <w:rPr>
          <w:rFonts w:ascii="Verdana" w:hAnsi="Verdana" w:cs="Courier New"/>
        </w:rPr>
        <w:t>un</w:t>
      </w:r>
      <w:r w:rsidR="000142D2" w:rsidRPr="000142D2">
        <w:t xml:space="preserve"> </w:t>
      </w:r>
      <w:hyperlink r:id="rId9" w:tooltip="Fee tail" w:history="1">
        <w:proofErr w:type="spellStart"/>
        <w:r w:rsidR="000142D2" w:rsidRPr="000142D2">
          <w:rPr>
            <w:rStyle w:val="Collegamentoipertestuale"/>
            <w:rFonts w:ascii="Verdana" w:hAnsi="Verdana"/>
            <w:i/>
            <w:color w:val="auto"/>
            <w:sz w:val="22"/>
            <w:szCs w:val="22"/>
            <w:u w:val="none"/>
          </w:rPr>
          <w:t>fee</w:t>
        </w:r>
        <w:proofErr w:type="spellEnd"/>
        <w:r w:rsidR="000142D2" w:rsidRPr="000142D2">
          <w:rPr>
            <w:rStyle w:val="Collegamentoipertestuale"/>
            <w:rFonts w:ascii="Verdana" w:hAnsi="Verdana"/>
            <w:i/>
            <w:color w:val="auto"/>
            <w:sz w:val="22"/>
            <w:szCs w:val="22"/>
            <w:u w:val="none"/>
          </w:rPr>
          <w:t xml:space="preserve"> </w:t>
        </w:r>
        <w:proofErr w:type="spellStart"/>
        <w:r w:rsidR="000142D2" w:rsidRPr="000142D2">
          <w:rPr>
            <w:rStyle w:val="Collegamentoipertestuale"/>
            <w:rFonts w:ascii="Verdana" w:hAnsi="Verdana"/>
            <w:i/>
            <w:color w:val="auto"/>
            <w:sz w:val="22"/>
            <w:szCs w:val="22"/>
            <w:u w:val="none"/>
          </w:rPr>
          <w:t>tail</w:t>
        </w:r>
        <w:proofErr w:type="spellEnd"/>
      </w:hyperlink>
      <w:r w:rsidR="000142D2" w:rsidRPr="000142D2">
        <w:rPr>
          <w:rFonts w:ascii="Verdana" w:hAnsi="Verdana"/>
          <w:sz w:val="22"/>
          <w:szCs w:val="22"/>
        </w:rPr>
        <w:t xml:space="preserve"> o di un</w:t>
      </w:r>
      <w:r w:rsidR="00890E03">
        <w:rPr>
          <w:rFonts w:ascii="Verdana" w:hAnsi="Verdana" w:cs="Courier New"/>
        </w:rPr>
        <w:t xml:space="preserve"> </w:t>
      </w:r>
      <w:r w:rsidR="00E9115D">
        <w:rPr>
          <w:rFonts w:ascii="Verdana" w:hAnsi="Verdana" w:cs="Courier New"/>
        </w:rPr>
        <w:t xml:space="preserve">life estate sul bene) trovarono convenienti le azioni ideate per la difesa dei soli </w:t>
      </w:r>
      <w:proofErr w:type="spellStart"/>
      <w:r w:rsidR="00E9115D" w:rsidRPr="00890E03">
        <w:rPr>
          <w:rFonts w:ascii="Verdana" w:hAnsi="Verdana" w:cs="Courier New"/>
          <w:i/>
        </w:rPr>
        <w:t>leaseholders</w:t>
      </w:r>
      <w:proofErr w:type="spellEnd"/>
      <w:r w:rsidR="00E9115D">
        <w:rPr>
          <w:rFonts w:ascii="Verdana" w:hAnsi="Verdana" w:cs="Courier New"/>
        </w:rPr>
        <w:t xml:space="preserve"> (che vantavano sul bene una semplice “personal </w:t>
      </w:r>
      <w:proofErr w:type="spellStart"/>
      <w:r w:rsidR="00E9115D">
        <w:rPr>
          <w:rFonts w:ascii="Verdana" w:hAnsi="Verdana" w:cs="Courier New"/>
        </w:rPr>
        <w:t>property</w:t>
      </w:r>
      <w:proofErr w:type="spellEnd"/>
      <w:r w:rsidR="00E9115D">
        <w:rPr>
          <w:rFonts w:ascii="Verdana" w:hAnsi="Verdana" w:cs="Courier New"/>
        </w:rPr>
        <w:t xml:space="preserve">”). Per accedere a questi rimedi, i loro avvocati inventarono un meccanismo di espulsione fittizia. </w:t>
      </w:r>
      <w:r w:rsidR="00890E03">
        <w:rPr>
          <w:rFonts w:ascii="Verdana" w:hAnsi="Verdana" w:cs="Courier New"/>
        </w:rPr>
        <w:t>Il procedimento ricorda quello della nomina di un campione in sostituzione del litigante che non era in grado di affrontare il duello</w:t>
      </w:r>
      <w:r>
        <w:rPr>
          <w:rFonts w:ascii="Verdana" w:hAnsi="Verdana" w:cs="Courier New"/>
        </w:rPr>
        <w:t xml:space="preserve"> </w:t>
      </w:r>
      <w:r w:rsidR="00890E03">
        <w:rPr>
          <w:rFonts w:ascii="Verdana" w:hAnsi="Verdana" w:cs="Courier New"/>
        </w:rPr>
        <w:t>personalmente.</w:t>
      </w:r>
      <w:r>
        <w:rPr>
          <w:rFonts w:ascii="Verdana" w:hAnsi="Verdana" w:cs="Courier New"/>
        </w:rPr>
        <w:t xml:space="preserve"> </w:t>
      </w:r>
    </w:p>
    <w:p w:rsidR="00890E03" w:rsidRPr="00890E03" w:rsidRDefault="00255AFE" w:rsidP="00407000">
      <w:pPr>
        <w:rPr>
          <w:rFonts w:ascii="Verdana" w:hAnsi="Verdana"/>
          <w:snapToGrid w:val="0"/>
          <w:sz w:val="24"/>
          <w:szCs w:val="24"/>
          <w:lang w:eastAsia="it-IT"/>
        </w:rPr>
      </w:pPr>
      <w:r w:rsidRPr="00407000">
        <w:rPr>
          <w:rFonts w:ascii="Verdana" w:hAnsi="Verdana"/>
          <w:snapToGrid w:val="0"/>
          <w:sz w:val="24"/>
          <w:szCs w:val="24"/>
          <w:lang w:eastAsia="it-IT"/>
        </w:rPr>
        <w:t xml:space="preserve">Il </w:t>
      </w:r>
      <w:proofErr w:type="spellStart"/>
      <w:r w:rsidRPr="00890E03">
        <w:rPr>
          <w:rFonts w:ascii="Verdana" w:hAnsi="Verdana"/>
          <w:i/>
          <w:snapToGrid w:val="0"/>
          <w:sz w:val="24"/>
          <w:szCs w:val="24"/>
          <w:lang w:eastAsia="it-IT"/>
        </w:rPr>
        <w:t>freeholder</w:t>
      </w:r>
      <w:proofErr w:type="spellEnd"/>
      <w:r w:rsidRPr="00407000">
        <w:rPr>
          <w:rFonts w:ascii="Verdana" w:hAnsi="Verdana"/>
          <w:snapToGrid w:val="0"/>
          <w:sz w:val="24"/>
          <w:szCs w:val="24"/>
          <w:lang w:eastAsia="it-IT"/>
        </w:rPr>
        <w:t xml:space="preserve"> concede ad un estraneo (chiamato convenzionalmente </w:t>
      </w:r>
      <w:r w:rsidRPr="00890E03">
        <w:rPr>
          <w:rFonts w:ascii="Verdana" w:hAnsi="Verdana"/>
          <w:i/>
          <w:snapToGrid w:val="0"/>
          <w:sz w:val="24"/>
          <w:szCs w:val="24"/>
          <w:lang w:eastAsia="it-IT"/>
        </w:rPr>
        <w:t>John</w:t>
      </w:r>
      <w:r w:rsidR="00890E03">
        <w:rPr>
          <w:rFonts w:ascii="Verdana" w:hAnsi="Verdana"/>
          <w:i/>
          <w:snapToGrid w:val="0"/>
          <w:sz w:val="24"/>
          <w:szCs w:val="24"/>
          <w:lang w:eastAsia="it-IT"/>
        </w:rPr>
        <w:t xml:space="preserve"> </w:t>
      </w:r>
      <w:proofErr w:type="spellStart"/>
      <w:r w:rsidRPr="00890E03">
        <w:rPr>
          <w:rFonts w:ascii="Verdana" w:hAnsi="Verdana"/>
          <w:i/>
          <w:snapToGrid w:val="0"/>
          <w:sz w:val="24"/>
          <w:szCs w:val="24"/>
          <w:lang w:eastAsia="it-IT"/>
        </w:rPr>
        <w:t>Doe</w:t>
      </w:r>
      <w:proofErr w:type="spellEnd"/>
      <w:r w:rsidRPr="00407000">
        <w:rPr>
          <w:rStyle w:val="Rimandonotaapidipagina"/>
          <w:rFonts w:ascii="Verdana" w:hAnsi="Verdana"/>
          <w:snapToGrid w:val="0"/>
          <w:sz w:val="24"/>
          <w:szCs w:val="24"/>
          <w:lang w:eastAsia="it-IT"/>
        </w:rPr>
        <w:footnoteReference w:id="4"/>
      </w:r>
      <w:r w:rsidRPr="00407000">
        <w:rPr>
          <w:rFonts w:ascii="Verdana" w:hAnsi="Verdana"/>
          <w:snapToGrid w:val="0"/>
          <w:sz w:val="24"/>
          <w:szCs w:val="24"/>
          <w:lang w:eastAsia="it-IT"/>
        </w:rPr>
        <w:t xml:space="preserve">) un </w:t>
      </w:r>
      <w:proofErr w:type="spellStart"/>
      <w:r w:rsidRPr="00890E03">
        <w:rPr>
          <w:rFonts w:ascii="Verdana" w:hAnsi="Verdana"/>
          <w:i/>
          <w:snapToGrid w:val="0"/>
          <w:sz w:val="24"/>
          <w:szCs w:val="24"/>
          <w:lang w:eastAsia="it-IT"/>
        </w:rPr>
        <w:t>lease</w:t>
      </w:r>
      <w:proofErr w:type="spellEnd"/>
      <w:r w:rsidRPr="00890E03">
        <w:rPr>
          <w:rFonts w:ascii="Verdana" w:hAnsi="Verdana"/>
          <w:i/>
          <w:snapToGrid w:val="0"/>
          <w:sz w:val="24"/>
          <w:szCs w:val="24"/>
          <w:lang w:eastAsia="it-IT"/>
        </w:rPr>
        <w:t xml:space="preserve"> </w:t>
      </w:r>
      <w:r w:rsidRPr="00407000">
        <w:rPr>
          <w:rFonts w:ascii="Verdana" w:hAnsi="Verdana"/>
          <w:snapToGrid w:val="0"/>
          <w:sz w:val="24"/>
          <w:szCs w:val="24"/>
          <w:lang w:eastAsia="it-IT"/>
        </w:rPr>
        <w:t xml:space="preserve">fittizio. Il </w:t>
      </w:r>
      <w:r w:rsidR="00890E03">
        <w:rPr>
          <w:rFonts w:ascii="Verdana" w:hAnsi="Verdana"/>
          <w:snapToGrid w:val="0"/>
          <w:sz w:val="24"/>
          <w:szCs w:val="24"/>
          <w:lang w:eastAsia="it-IT"/>
        </w:rPr>
        <w:t>“</w:t>
      </w:r>
      <w:proofErr w:type="spellStart"/>
      <w:r w:rsidRPr="00890E03">
        <w:rPr>
          <w:rFonts w:ascii="Verdana" w:hAnsi="Verdana"/>
          <w:i/>
          <w:snapToGrid w:val="0"/>
          <w:sz w:val="24"/>
          <w:szCs w:val="24"/>
          <w:lang w:eastAsia="it-IT"/>
        </w:rPr>
        <w:t>lessee</w:t>
      </w:r>
      <w:proofErr w:type="spellEnd"/>
      <w:r w:rsidR="00890E03">
        <w:rPr>
          <w:rFonts w:ascii="Verdana" w:hAnsi="Verdana"/>
          <w:i/>
          <w:snapToGrid w:val="0"/>
          <w:sz w:val="24"/>
          <w:szCs w:val="24"/>
          <w:lang w:eastAsia="it-IT"/>
        </w:rPr>
        <w:t xml:space="preserve">” </w:t>
      </w:r>
      <w:r w:rsidRPr="00407000">
        <w:rPr>
          <w:rFonts w:ascii="Verdana" w:hAnsi="Verdana"/>
          <w:snapToGrid w:val="0"/>
          <w:sz w:val="24"/>
          <w:szCs w:val="24"/>
          <w:lang w:eastAsia="it-IT"/>
        </w:rPr>
        <w:t xml:space="preserve"> John </w:t>
      </w:r>
      <w:proofErr w:type="spellStart"/>
      <w:r w:rsidRPr="00407000">
        <w:rPr>
          <w:rFonts w:ascii="Verdana" w:hAnsi="Verdana"/>
          <w:snapToGrid w:val="0"/>
          <w:sz w:val="24"/>
          <w:szCs w:val="24"/>
          <w:lang w:eastAsia="it-IT"/>
        </w:rPr>
        <w:t>Doe</w:t>
      </w:r>
      <w:proofErr w:type="spellEnd"/>
      <w:r w:rsidRPr="00407000">
        <w:rPr>
          <w:rFonts w:ascii="Verdana" w:hAnsi="Verdana"/>
          <w:snapToGrid w:val="0"/>
          <w:sz w:val="24"/>
          <w:szCs w:val="24"/>
          <w:lang w:eastAsia="it-IT"/>
        </w:rPr>
        <w:t xml:space="preserve"> viene immesso nel possesso del fondo </w:t>
      </w:r>
      <w:r w:rsidR="00407000">
        <w:rPr>
          <w:rFonts w:ascii="Verdana" w:hAnsi="Verdana"/>
          <w:snapToGrid w:val="0"/>
          <w:sz w:val="24"/>
          <w:szCs w:val="24"/>
          <w:lang w:eastAsia="it-IT"/>
        </w:rPr>
        <w:t xml:space="preserve">ingiustamente strappato da un usurpatore </w:t>
      </w:r>
      <w:r w:rsidRPr="00407000">
        <w:rPr>
          <w:rFonts w:ascii="Verdana" w:hAnsi="Verdana"/>
          <w:snapToGrid w:val="0"/>
          <w:sz w:val="24"/>
          <w:szCs w:val="24"/>
          <w:lang w:eastAsia="it-IT"/>
        </w:rPr>
        <w:t>e aspetta di esserne estromesso dall'occupante.</w:t>
      </w:r>
      <w:r w:rsidR="00407000">
        <w:rPr>
          <w:rFonts w:ascii="Verdana" w:hAnsi="Verdana"/>
          <w:snapToGrid w:val="0"/>
          <w:sz w:val="24"/>
          <w:szCs w:val="24"/>
          <w:lang w:eastAsia="it-IT"/>
        </w:rPr>
        <w:t xml:space="preserve"> </w:t>
      </w:r>
      <w:r w:rsidRPr="00407000">
        <w:rPr>
          <w:rFonts w:ascii="Verdana" w:hAnsi="Verdana"/>
          <w:snapToGrid w:val="0"/>
          <w:sz w:val="24"/>
          <w:szCs w:val="24"/>
          <w:lang w:eastAsia="it-IT"/>
        </w:rPr>
        <w:t xml:space="preserve">A questo punto John </w:t>
      </w:r>
      <w:proofErr w:type="spellStart"/>
      <w:r w:rsidRPr="00407000">
        <w:rPr>
          <w:rFonts w:ascii="Verdana" w:hAnsi="Verdana"/>
          <w:snapToGrid w:val="0"/>
          <w:sz w:val="24"/>
          <w:szCs w:val="24"/>
          <w:lang w:eastAsia="it-IT"/>
        </w:rPr>
        <w:t>Doe</w:t>
      </w:r>
      <w:proofErr w:type="spellEnd"/>
      <w:r w:rsidRPr="00407000">
        <w:rPr>
          <w:rFonts w:ascii="Verdana" w:hAnsi="Verdana"/>
          <w:snapToGrid w:val="0"/>
          <w:sz w:val="24"/>
          <w:szCs w:val="24"/>
          <w:lang w:eastAsia="it-IT"/>
        </w:rPr>
        <w:t xml:space="preserve">, forte della sua qualità di </w:t>
      </w:r>
      <w:proofErr w:type="spellStart"/>
      <w:r w:rsidRPr="00407000">
        <w:rPr>
          <w:rFonts w:ascii="Verdana" w:hAnsi="Verdana"/>
          <w:snapToGrid w:val="0"/>
          <w:sz w:val="24"/>
          <w:szCs w:val="24"/>
          <w:lang w:eastAsia="it-IT"/>
        </w:rPr>
        <w:t>lessee</w:t>
      </w:r>
      <w:proofErr w:type="spellEnd"/>
      <w:r w:rsidRPr="00407000">
        <w:rPr>
          <w:rFonts w:ascii="Verdana" w:hAnsi="Verdana"/>
          <w:snapToGrid w:val="0"/>
          <w:sz w:val="24"/>
          <w:szCs w:val="24"/>
          <w:lang w:eastAsia="it-IT"/>
        </w:rPr>
        <w:t xml:space="preserve"> (sia pure fittizio), assume il ruolo di attore apparente (</w:t>
      </w:r>
      <w:proofErr w:type="spellStart"/>
      <w:r w:rsidRPr="00890E03">
        <w:rPr>
          <w:rFonts w:ascii="Verdana" w:hAnsi="Verdana"/>
          <w:i/>
          <w:snapToGrid w:val="0"/>
          <w:sz w:val="24"/>
          <w:szCs w:val="24"/>
          <w:lang w:eastAsia="it-IT"/>
        </w:rPr>
        <w:t>nominal</w:t>
      </w:r>
      <w:proofErr w:type="spellEnd"/>
      <w:r w:rsidRPr="00890E03">
        <w:rPr>
          <w:rFonts w:ascii="Verdana" w:hAnsi="Verdana"/>
          <w:i/>
          <w:snapToGrid w:val="0"/>
          <w:sz w:val="24"/>
          <w:szCs w:val="24"/>
          <w:lang w:eastAsia="it-IT"/>
        </w:rPr>
        <w:t xml:space="preserve"> </w:t>
      </w:r>
      <w:proofErr w:type="spellStart"/>
      <w:r w:rsidRPr="00890E03">
        <w:rPr>
          <w:rFonts w:ascii="Verdana" w:hAnsi="Verdana"/>
          <w:i/>
          <w:snapToGrid w:val="0"/>
          <w:sz w:val="24"/>
          <w:szCs w:val="24"/>
          <w:lang w:eastAsia="it-IT"/>
        </w:rPr>
        <w:t>plaintiff</w:t>
      </w:r>
      <w:proofErr w:type="spellEnd"/>
      <w:r w:rsidRPr="00407000">
        <w:rPr>
          <w:rFonts w:ascii="Verdana" w:hAnsi="Verdana"/>
          <w:snapToGrid w:val="0"/>
          <w:sz w:val="24"/>
          <w:szCs w:val="24"/>
          <w:lang w:eastAsia="it-IT"/>
        </w:rPr>
        <w:t xml:space="preserve">) e agisce in </w:t>
      </w:r>
      <w:proofErr w:type="spellStart"/>
      <w:r w:rsidRPr="00407000">
        <w:rPr>
          <w:rFonts w:ascii="Verdana" w:hAnsi="Verdana"/>
          <w:i/>
          <w:snapToGrid w:val="0"/>
          <w:sz w:val="24"/>
          <w:szCs w:val="24"/>
          <w:lang w:eastAsia="it-IT"/>
        </w:rPr>
        <w:t>trespass</w:t>
      </w:r>
      <w:proofErr w:type="spellEnd"/>
      <w:r w:rsidRPr="00407000">
        <w:rPr>
          <w:rFonts w:ascii="Verdana" w:hAnsi="Verdana"/>
          <w:i/>
          <w:snapToGrid w:val="0"/>
          <w:sz w:val="24"/>
          <w:szCs w:val="24"/>
          <w:lang w:eastAsia="it-IT"/>
        </w:rPr>
        <w:t xml:space="preserve"> de </w:t>
      </w:r>
      <w:proofErr w:type="spellStart"/>
      <w:r w:rsidRPr="00407000">
        <w:rPr>
          <w:rFonts w:ascii="Verdana" w:hAnsi="Verdana"/>
          <w:i/>
          <w:snapToGrid w:val="0"/>
          <w:sz w:val="24"/>
          <w:szCs w:val="24"/>
          <w:lang w:eastAsia="it-IT"/>
        </w:rPr>
        <w:t>ejectione</w:t>
      </w:r>
      <w:proofErr w:type="spellEnd"/>
      <w:r w:rsidRPr="00407000">
        <w:rPr>
          <w:rFonts w:ascii="Verdana" w:hAnsi="Verdana"/>
          <w:i/>
          <w:snapToGrid w:val="0"/>
          <w:sz w:val="24"/>
          <w:szCs w:val="24"/>
          <w:lang w:eastAsia="it-IT"/>
        </w:rPr>
        <w:t xml:space="preserve"> </w:t>
      </w:r>
      <w:proofErr w:type="spellStart"/>
      <w:r w:rsidRPr="00407000">
        <w:rPr>
          <w:rFonts w:ascii="Verdana" w:hAnsi="Verdana"/>
          <w:i/>
          <w:snapToGrid w:val="0"/>
          <w:sz w:val="24"/>
          <w:szCs w:val="24"/>
          <w:lang w:eastAsia="it-IT"/>
        </w:rPr>
        <w:t>firmae</w:t>
      </w:r>
      <w:proofErr w:type="spellEnd"/>
      <w:r w:rsidRPr="00407000">
        <w:rPr>
          <w:rFonts w:ascii="Verdana" w:hAnsi="Verdana"/>
          <w:snapToGrid w:val="0"/>
          <w:sz w:val="24"/>
          <w:szCs w:val="24"/>
          <w:lang w:eastAsia="it-IT"/>
        </w:rPr>
        <w:t xml:space="preserve"> contro l'occupante che l'ha </w:t>
      </w:r>
      <w:r w:rsidR="00890E03">
        <w:rPr>
          <w:rFonts w:ascii="Verdana" w:hAnsi="Verdana"/>
          <w:snapToGrid w:val="0"/>
          <w:sz w:val="24"/>
          <w:szCs w:val="24"/>
          <w:lang w:eastAsia="it-IT"/>
        </w:rPr>
        <w:t xml:space="preserve">violentemente </w:t>
      </w:r>
      <w:r w:rsidRPr="00407000">
        <w:rPr>
          <w:rFonts w:ascii="Verdana" w:hAnsi="Verdana"/>
          <w:snapToGrid w:val="0"/>
          <w:sz w:val="24"/>
          <w:szCs w:val="24"/>
          <w:lang w:eastAsia="it-IT"/>
        </w:rPr>
        <w:t xml:space="preserve">estromesso. Per vincere egli dovrà provare 1) che il suo </w:t>
      </w:r>
      <w:proofErr w:type="spellStart"/>
      <w:r w:rsidRPr="00407000">
        <w:rPr>
          <w:rFonts w:ascii="Verdana" w:hAnsi="Verdana"/>
          <w:snapToGrid w:val="0"/>
          <w:sz w:val="24"/>
          <w:szCs w:val="24"/>
          <w:lang w:eastAsia="it-IT"/>
        </w:rPr>
        <w:t>lessor</w:t>
      </w:r>
      <w:proofErr w:type="spellEnd"/>
      <w:r w:rsidRPr="00407000">
        <w:rPr>
          <w:rFonts w:ascii="Verdana" w:hAnsi="Verdana"/>
          <w:snapToGrid w:val="0"/>
          <w:sz w:val="24"/>
          <w:szCs w:val="24"/>
          <w:lang w:eastAsia="it-IT"/>
        </w:rPr>
        <w:t xml:space="preserve"> (il </w:t>
      </w:r>
      <w:proofErr w:type="spellStart"/>
      <w:r w:rsidRPr="00407000">
        <w:rPr>
          <w:rFonts w:ascii="Verdana" w:hAnsi="Verdana"/>
          <w:snapToGrid w:val="0"/>
          <w:sz w:val="24"/>
          <w:szCs w:val="24"/>
          <w:lang w:eastAsia="it-IT"/>
        </w:rPr>
        <w:t>freeholder</w:t>
      </w:r>
      <w:proofErr w:type="spellEnd"/>
      <w:r w:rsidRPr="00407000">
        <w:rPr>
          <w:rFonts w:ascii="Verdana" w:hAnsi="Verdana"/>
          <w:snapToGrid w:val="0"/>
          <w:sz w:val="24"/>
          <w:szCs w:val="24"/>
          <w:lang w:eastAsia="it-IT"/>
        </w:rPr>
        <w:t xml:space="preserve">)  aveva il right of entry; 2) che questi gli </w:t>
      </w:r>
      <w:r w:rsidRPr="00407000">
        <w:rPr>
          <w:rFonts w:ascii="Verdana" w:hAnsi="Verdana"/>
          <w:snapToGrid w:val="0"/>
          <w:sz w:val="24"/>
          <w:szCs w:val="24"/>
          <w:lang w:eastAsia="it-IT"/>
        </w:rPr>
        <w:t xml:space="preserve">ha concesso il </w:t>
      </w:r>
      <w:proofErr w:type="spellStart"/>
      <w:r w:rsidRPr="00407000">
        <w:rPr>
          <w:rFonts w:ascii="Verdana" w:hAnsi="Verdana"/>
          <w:snapToGrid w:val="0"/>
          <w:sz w:val="24"/>
          <w:szCs w:val="24"/>
          <w:lang w:eastAsia="it-IT"/>
        </w:rPr>
        <w:t>lease</w:t>
      </w:r>
      <w:proofErr w:type="spellEnd"/>
      <w:r w:rsidRPr="00407000">
        <w:rPr>
          <w:rFonts w:ascii="Verdana" w:hAnsi="Verdana"/>
          <w:snapToGrid w:val="0"/>
          <w:sz w:val="24"/>
          <w:szCs w:val="24"/>
          <w:lang w:eastAsia="it-IT"/>
        </w:rPr>
        <w:t>; 3) che c'è</w:t>
      </w:r>
      <w:r w:rsidRPr="00407000">
        <w:rPr>
          <w:rFonts w:ascii="Verdana" w:hAnsi="Verdana"/>
          <w:snapToGrid w:val="0"/>
          <w:sz w:val="24"/>
          <w:szCs w:val="24"/>
          <w:lang w:eastAsia="it-IT"/>
        </w:rPr>
        <w:t xml:space="preserve"> stato l'ingresso sul </w:t>
      </w:r>
      <w:r w:rsidRPr="00407000">
        <w:rPr>
          <w:rFonts w:ascii="Verdana" w:hAnsi="Verdana"/>
          <w:snapToGrid w:val="0"/>
          <w:sz w:val="24"/>
          <w:szCs w:val="24"/>
          <w:lang w:eastAsia="it-IT"/>
        </w:rPr>
        <w:t>fondo e 4) che egli è</w:t>
      </w:r>
      <w:r w:rsidRPr="00407000">
        <w:rPr>
          <w:rFonts w:ascii="Verdana" w:hAnsi="Verdana"/>
          <w:snapToGrid w:val="0"/>
          <w:sz w:val="24"/>
          <w:szCs w:val="24"/>
          <w:lang w:eastAsia="it-IT"/>
        </w:rPr>
        <w:t xml:space="preserve"> stato estromesso.</w:t>
      </w:r>
      <w:r w:rsidR="00890E03">
        <w:rPr>
          <w:rFonts w:ascii="Verdana" w:hAnsi="Verdana"/>
          <w:snapToGrid w:val="0"/>
          <w:sz w:val="24"/>
          <w:szCs w:val="24"/>
          <w:lang w:eastAsia="it-IT"/>
        </w:rPr>
        <w:t xml:space="preserve"> </w:t>
      </w:r>
      <w:r w:rsidRPr="00407000">
        <w:rPr>
          <w:rFonts w:ascii="Verdana" w:hAnsi="Verdana"/>
          <w:snapToGrid w:val="0"/>
          <w:sz w:val="24"/>
          <w:szCs w:val="24"/>
          <w:lang w:eastAsia="it-IT"/>
        </w:rPr>
        <w:t xml:space="preserve">Con un meccanismo ricorrente nella storia del diritto inglese si passò, in un secondo tempo, dall'allegazione e prova di questi fatti </w:t>
      </w:r>
      <w:r w:rsidR="00890E03" w:rsidRPr="00407000">
        <w:rPr>
          <w:rFonts w:ascii="Verdana" w:hAnsi="Verdana"/>
          <w:snapToGrid w:val="0"/>
          <w:sz w:val="24"/>
          <w:szCs w:val="24"/>
          <w:lang w:eastAsia="it-IT"/>
        </w:rPr>
        <w:t>alla loro semplice allegazione</w:t>
      </w:r>
      <w:r w:rsidR="00890E03" w:rsidRPr="00407000">
        <w:rPr>
          <w:rStyle w:val="Rimandonotaapidipagina"/>
          <w:rFonts w:ascii="Verdana" w:hAnsi="Verdana"/>
          <w:snapToGrid w:val="0"/>
          <w:sz w:val="24"/>
          <w:szCs w:val="24"/>
          <w:lang w:eastAsia="it-IT"/>
        </w:rPr>
        <w:t xml:space="preserve"> </w:t>
      </w:r>
      <w:r w:rsidRPr="00407000">
        <w:rPr>
          <w:rStyle w:val="Rimandonotaapidipagina"/>
          <w:rFonts w:ascii="Verdana" w:hAnsi="Verdana"/>
          <w:snapToGrid w:val="0"/>
          <w:sz w:val="24"/>
          <w:szCs w:val="24"/>
          <w:lang w:eastAsia="it-IT"/>
        </w:rPr>
        <w:footnoteReference w:id="5"/>
      </w:r>
      <w:r w:rsidRPr="00407000">
        <w:rPr>
          <w:rFonts w:ascii="Verdana" w:hAnsi="Verdana"/>
          <w:snapToGrid w:val="0"/>
          <w:sz w:val="24"/>
          <w:szCs w:val="24"/>
          <w:lang w:eastAsia="it-IT"/>
        </w:rPr>
        <w:t>. Le corti posero il convenuto di fronte alla scelta: o accettare per vere le</w:t>
      </w:r>
      <w:r w:rsidR="00407000">
        <w:rPr>
          <w:rFonts w:ascii="Verdana" w:hAnsi="Verdana"/>
          <w:snapToGrid w:val="0"/>
          <w:sz w:val="24"/>
          <w:szCs w:val="24"/>
          <w:lang w:eastAsia="it-IT"/>
        </w:rPr>
        <w:t xml:space="preserve"> </w:t>
      </w:r>
      <w:r w:rsidRPr="00407000">
        <w:rPr>
          <w:rFonts w:ascii="Verdana" w:hAnsi="Verdana"/>
          <w:snapToGrid w:val="0"/>
          <w:sz w:val="24"/>
          <w:szCs w:val="24"/>
          <w:lang w:eastAsia="it-IT"/>
        </w:rPr>
        <w:t xml:space="preserve">dichiarazioni dell'attore ed esser ammesso a discutere il vero nocciolo della questione (l'esistenza di un effettivo </w:t>
      </w:r>
      <w:r w:rsidRPr="00890E03">
        <w:rPr>
          <w:rFonts w:ascii="Verdana" w:hAnsi="Verdana"/>
          <w:i/>
          <w:snapToGrid w:val="0"/>
          <w:sz w:val="24"/>
          <w:szCs w:val="24"/>
          <w:lang w:eastAsia="it-IT"/>
        </w:rPr>
        <w:t xml:space="preserve">right of </w:t>
      </w:r>
      <w:r w:rsidR="00407000" w:rsidRPr="00890E03">
        <w:rPr>
          <w:rFonts w:ascii="Verdana" w:hAnsi="Verdana"/>
          <w:i/>
          <w:snapToGrid w:val="0"/>
          <w:sz w:val="24"/>
          <w:szCs w:val="24"/>
          <w:lang w:eastAsia="it-IT"/>
        </w:rPr>
        <w:t>entry</w:t>
      </w:r>
      <w:r w:rsidR="00407000">
        <w:rPr>
          <w:rFonts w:ascii="Verdana" w:hAnsi="Verdana"/>
          <w:snapToGrid w:val="0"/>
          <w:sz w:val="24"/>
          <w:szCs w:val="24"/>
          <w:lang w:eastAsia="it-IT"/>
        </w:rPr>
        <w:t xml:space="preserve"> nell'attore</w:t>
      </w:r>
      <w:r w:rsidRPr="00407000">
        <w:rPr>
          <w:rFonts w:ascii="Verdana" w:hAnsi="Verdana"/>
          <w:snapToGrid w:val="0"/>
          <w:sz w:val="24"/>
          <w:szCs w:val="24"/>
          <w:lang w:eastAsia="it-IT"/>
        </w:rPr>
        <w:t>) o rinunciare addirittura a partecipare al giudizio.</w:t>
      </w:r>
      <w:r w:rsidR="00890E03">
        <w:rPr>
          <w:rFonts w:ascii="Verdana" w:hAnsi="Verdana"/>
          <w:snapToGrid w:val="0"/>
          <w:sz w:val="24"/>
          <w:szCs w:val="24"/>
          <w:lang w:eastAsia="it-IT"/>
        </w:rPr>
        <w:t xml:space="preserve"> Nel tempo – di fronte all’inconveniente di subire comunque qualche forma di violenza per giustificare la legittimazione ad agire – gli avvocati </w:t>
      </w:r>
      <w:r w:rsidR="00A51DF1">
        <w:rPr>
          <w:rFonts w:ascii="Verdana" w:hAnsi="Verdana"/>
          <w:snapToGrid w:val="0"/>
          <w:sz w:val="24"/>
          <w:szCs w:val="24"/>
          <w:lang w:eastAsia="it-IT"/>
        </w:rPr>
        <w:t>inscenarono</w:t>
      </w:r>
      <w:r w:rsidR="00890E03">
        <w:rPr>
          <w:rFonts w:ascii="Verdana" w:hAnsi="Verdana"/>
          <w:snapToGrid w:val="0"/>
          <w:sz w:val="24"/>
          <w:szCs w:val="24"/>
          <w:lang w:eastAsia="it-IT"/>
        </w:rPr>
        <w:t xml:space="preserve"> un gioco ancora più complesso, con l’aggiunta di un personaggio</w:t>
      </w:r>
      <w:r w:rsidR="00890E03" w:rsidRPr="00890E03">
        <w:rPr>
          <w:rFonts w:ascii="Verdana" w:hAnsi="Verdana"/>
          <w:snapToGrid w:val="0"/>
          <w:sz w:val="24"/>
          <w:szCs w:val="24"/>
          <w:lang w:eastAsia="it-IT"/>
        </w:rPr>
        <w:t xml:space="preserve">: </w:t>
      </w:r>
      <w:r w:rsidR="00890E03" w:rsidRPr="00890E03">
        <w:rPr>
          <w:rFonts w:ascii="Verdana" w:hAnsi="Verdana"/>
          <w:snapToGrid w:val="0"/>
          <w:sz w:val="24"/>
          <w:szCs w:val="24"/>
          <w:lang w:eastAsia="it-IT"/>
        </w:rPr>
        <w:t xml:space="preserve">il </w:t>
      </w:r>
      <w:r w:rsidR="00890E03" w:rsidRPr="00890E03">
        <w:rPr>
          <w:rFonts w:ascii="Verdana" w:hAnsi="Verdana"/>
          <w:i/>
          <w:snapToGrid w:val="0"/>
          <w:sz w:val="24"/>
          <w:szCs w:val="24"/>
          <w:lang w:eastAsia="it-IT"/>
        </w:rPr>
        <w:t xml:space="preserve">casual </w:t>
      </w:r>
      <w:proofErr w:type="spellStart"/>
      <w:r w:rsidR="00890E03" w:rsidRPr="00890E03">
        <w:rPr>
          <w:rFonts w:ascii="Verdana" w:hAnsi="Verdana"/>
          <w:i/>
          <w:snapToGrid w:val="0"/>
          <w:sz w:val="24"/>
          <w:szCs w:val="24"/>
          <w:lang w:eastAsia="it-IT"/>
        </w:rPr>
        <w:t>ejector</w:t>
      </w:r>
      <w:proofErr w:type="spellEnd"/>
      <w:r w:rsidR="00890E03" w:rsidRPr="00890E03">
        <w:rPr>
          <w:rFonts w:ascii="Verdana" w:hAnsi="Verdana"/>
          <w:i/>
          <w:snapToGrid w:val="0"/>
          <w:sz w:val="24"/>
          <w:szCs w:val="24"/>
          <w:lang w:eastAsia="it-IT"/>
        </w:rPr>
        <w:t xml:space="preserve">. </w:t>
      </w:r>
      <w:r w:rsidR="00890E03" w:rsidRPr="00890E03">
        <w:rPr>
          <w:rFonts w:ascii="Verdana" w:hAnsi="Verdana"/>
          <w:snapToGrid w:val="0"/>
          <w:sz w:val="24"/>
          <w:szCs w:val="24"/>
          <w:lang w:eastAsia="it-IT"/>
        </w:rPr>
        <w:t>Questi</w:t>
      </w:r>
      <w:r w:rsidR="00890E03" w:rsidRPr="00890E03">
        <w:rPr>
          <w:rFonts w:ascii="Verdana" w:hAnsi="Verdana"/>
          <w:snapToGrid w:val="0"/>
          <w:sz w:val="24"/>
          <w:szCs w:val="24"/>
          <w:lang w:eastAsia="it-IT"/>
        </w:rPr>
        <w:t xml:space="preserve"> faceva le veci dell'occupante del fondo ed espelleva (d'intesa con gli altri personaggi e con minori rischi per la loro incolumità personale) il </w:t>
      </w:r>
      <w:proofErr w:type="spellStart"/>
      <w:r w:rsidR="00890E03" w:rsidRPr="00890E03">
        <w:rPr>
          <w:rFonts w:ascii="Verdana" w:hAnsi="Verdana"/>
          <w:i/>
          <w:snapToGrid w:val="0"/>
          <w:sz w:val="24"/>
          <w:szCs w:val="24"/>
          <w:lang w:eastAsia="it-IT"/>
        </w:rPr>
        <w:t>lessee</w:t>
      </w:r>
      <w:proofErr w:type="spellEnd"/>
      <w:r w:rsidR="00890E03" w:rsidRPr="00890E03">
        <w:rPr>
          <w:rFonts w:ascii="Verdana" w:hAnsi="Verdana"/>
          <w:snapToGrid w:val="0"/>
          <w:sz w:val="24"/>
          <w:szCs w:val="24"/>
          <w:lang w:eastAsia="it-IT"/>
        </w:rPr>
        <w:t xml:space="preserve">. </w:t>
      </w:r>
    </w:p>
    <w:p w:rsidR="00255AFE" w:rsidRPr="00890E03" w:rsidRDefault="00890E03" w:rsidP="00407000">
      <w:pPr>
        <w:rPr>
          <w:rFonts w:ascii="Verdana" w:hAnsi="Verdana"/>
          <w:snapToGrid w:val="0"/>
          <w:sz w:val="24"/>
          <w:szCs w:val="24"/>
          <w:lang w:eastAsia="it-IT"/>
        </w:rPr>
      </w:pPr>
      <w:r w:rsidRPr="00890E03">
        <w:rPr>
          <w:rFonts w:ascii="Verdana" w:hAnsi="Verdana"/>
          <w:snapToGrid w:val="0"/>
          <w:sz w:val="24"/>
          <w:szCs w:val="24"/>
          <w:lang w:eastAsia="it-IT"/>
        </w:rPr>
        <w:lastRenderedPageBreak/>
        <w:t xml:space="preserve">L'azione era quindi intrapresa dal </w:t>
      </w:r>
      <w:proofErr w:type="spellStart"/>
      <w:r w:rsidRPr="00890E03">
        <w:rPr>
          <w:rFonts w:ascii="Verdana" w:hAnsi="Verdana"/>
          <w:i/>
          <w:snapToGrid w:val="0"/>
          <w:sz w:val="24"/>
          <w:szCs w:val="24"/>
          <w:lang w:eastAsia="it-IT"/>
        </w:rPr>
        <w:t>lessee</w:t>
      </w:r>
      <w:proofErr w:type="spellEnd"/>
      <w:r w:rsidRPr="00890E03">
        <w:rPr>
          <w:rFonts w:ascii="Verdana" w:hAnsi="Verdana"/>
          <w:snapToGrid w:val="0"/>
          <w:sz w:val="24"/>
          <w:szCs w:val="24"/>
          <w:lang w:eastAsia="it-IT"/>
        </w:rPr>
        <w:t xml:space="preserve"> fittizio contro il </w:t>
      </w:r>
      <w:r w:rsidRPr="00890E03">
        <w:rPr>
          <w:rFonts w:ascii="Verdana" w:hAnsi="Verdana"/>
          <w:i/>
          <w:snapToGrid w:val="0"/>
          <w:sz w:val="24"/>
          <w:szCs w:val="24"/>
          <w:lang w:eastAsia="it-IT"/>
        </w:rPr>
        <w:t xml:space="preserve">casual </w:t>
      </w:r>
      <w:proofErr w:type="spellStart"/>
      <w:r w:rsidRPr="00890E03">
        <w:rPr>
          <w:rFonts w:ascii="Verdana" w:hAnsi="Verdana"/>
          <w:i/>
          <w:snapToGrid w:val="0"/>
          <w:sz w:val="24"/>
          <w:szCs w:val="24"/>
          <w:lang w:eastAsia="it-IT"/>
        </w:rPr>
        <w:t>ejector</w:t>
      </w:r>
      <w:proofErr w:type="spellEnd"/>
      <w:r w:rsidRPr="00890E03">
        <w:rPr>
          <w:rFonts w:ascii="Verdana" w:hAnsi="Verdana"/>
          <w:snapToGrid w:val="0"/>
          <w:sz w:val="24"/>
          <w:szCs w:val="24"/>
          <w:lang w:eastAsia="it-IT"/>
        </w:rPr>
        <w:t xml:space="preserve">: questi poi chiamava in causa il vero occupante del fondo e </w:t>
      </w:r>
      <w:r w:rsidRPr="00890E03">
        <w:rPr>
          <w:rFonts w:ascii="Verdana" w:hAnsi="Verdana"/>
          <w:snapToGrid w:val="0"/>
          <w:sz w:val="24"/>
          <w:szCs w:val="24"/>
          <w:lang w:eastAsia="it-IT"/>
        </w:rPr>
        <w:t xml:space="preserve">chiedeva di essere </w:t>
      </w:r>
      <w:r w:rsidRPr="00890E03">
        <w:rPr>
          <w:rFonts w:ascii="Verdana" w:hAnsi="Verdana"/>
          <w:snapToGrid w:val="0"/>
          <w:sz w:val="24"/>
          <w:szCs w:val="24"/>
          <w:lang w:eastAsia="it-IT"/>
        </w:rPr>
        <w:t>estromesso dal giudizio. La decisione dunque veniva emessa nei confronti dell'effettivo possessore.</w:t>
      </w:r>
      <w:r w:rsidRPr="00890E03">
        <w:rPr>
          <w:rFonts w:ascii="Verdana" w:hAnsi="Verdana"/>
          <w:snapToGrid w:val="0"/>
          <w:sz w:val="24"/>
          <w:szCs w:val="24"/>
          <w:lang w:eastAsia="it-IT"/>
        </w:rPr>
        <w:t xml:space="preserve"> </w:t>
      </w:r>
    </w:p>
    <w:p w:rsidR="00255AFE" w:rsidRDefault="00407000" w:rsidP="00407000">
      <w:pPr>
        <w:rPr>
          <w:rFonts w:ascii="Verdana" w:hAnsi="Verdana"/>
          <w:snapToGrid w:val="0"/>
          <w:sz w:val="24"/>
          <w:szCs w:val="24"/>
          <w:lang w:eastAsia="it-IT"/>
        </w:rPr>
      </w:pPr>
      <w:r>
        <w:rPr>
          <w:rFonts w:ascii="Verdana" w:hAnsi="Verdana"/>
          <w:snapToGrid w:val="0"/>
          <w:sz w:val="24"/>
          <w:szCs w:val="24"/>
          <w:lang w:eastAsia="it-IT"/>
        </w:rPr>
        <w:t>I</w:t>
      </w:r>
      <w:r w:rsidR="00255AFE" w:rsidRPr="00407000">
        <w:rPr>
          <w:rFonts w:ascii="Verdana" w:hAnsi="Verdana"/>
          <w:snapToGrid w:val="0"/>
          <w:sz w:val="24"/>
          <w:szCs w:val="24"/>
          <w:lang w:eastAsia="it-IT"/>
        </w:rPr>
        <w:t xml:space="preserve">l </w:t>
      </w:r>
      <w:r w:rsidR="00255AFE" w:rsidRPr="00407000">
        <w:rPr>
          <w:rFonts w:ascii="Verdana" w:hAnsi="Verdana"/>
          <w:i/>
          <w:snapToGrid w:val="0"/>
          <w:sz w:val="24"/>
          <w:szCs w:val="24"/>
          <w:lang w:eastAsia="it-IT"/>
        </w:rPr>
        <w:t>Common</w:t>
      </w:r>
      <w:r w:rsidRPr="00407000">
        <w:rPr>
          <w:rFonts w:ascii="Verdana" w:hAnsi="Verdana"/>
          <w:i/>
          <w:snapToGrid w:val="0"/>
          <w:sz w:val="24"/>
          <w:szCs w:val="24"/>
          <w:lang w:eastAsia="it-IT"/>
        </w:rPr>
        <w:t xml:space="preserve"> </w:t>
      </w:r>
      <w:r w:rsidR="00255AFE" w:rsidRPr="00407000">
        <w:rPr>
          <w:rFonts w:ascii="Verdana" w:hAnsi="Verdana"/>
          <w:i/>
          <w:snapToGrid w:val="0"/>
          <w:sz w:val="24"/>
          <w:szCs w:val="24"/>
          <w:lang w:eastAsia="it-IT"/>
        </w:rPr>
        <w:t xml:space="preserve">Law Procedure </w:t>
      </w:r>
      <w:proofErr w:type="spellStart"/>
      <w:r w:rsidR="00255AFE" w:rsidRPr="00407000">
        <w:rPr>
          <w:rFonts w:ascii="Verdana" w:hAnsi="Verdana"/>
          <w:i/>
          <w:snapToGrid w:val="0"/>
          <w:sz w:val="24"/>
          <w:szCs w:val="24"/>
          <w:lang w:eastAsia="it-IT"/>
        </w:rPr>
        <w:t>Act</w:t>
      </w:r>
      <w:proofErr w:type="spellEnd"/>
      <w:r w:rsidR="00255AFE" w:rsidRPr="00407000">
        <w:rPr>
          <w:rFonts w:ascii="Verdana" w:hAnsi="Verdana"/>
          <w:snapToGrid w:val="0"/>
          <w:sz w:val="24"/>
          <w:szCs w:val="24"/>
          <w:lang w:eastAsia="it-IT"/>
        </w:rPr>
        <w:t xml:space="preserve"> </w:t>
      </w:r>
      <w:r w:rsidR="00890E03">
        <w:rPr>
          <w:rFonts w:ascii="Verdana" w:hAnsi="Verdana"/>
          <w:snapToGrid w:val="0"/>
          <w:sz w:val="24"/>
          <w:szCs w:val="24"/>
          <w:lang w:eastAsia="it-IT"/>
        </w:rPr>
        <w:t>solo nel</w:t>
      </w:r>
      <w:r w:rsidR="00255AFE" w:rsidRPr="00407000">
        <w:rPr>
          <w:rFonts w:ascii="Verdana" w:hAnsi="Verdana"/>
          <w:snapToGrid w:val="0"/>
          <w:sz w:val="24"/>
          <w:szCs w:val="24"/>
          <w:lang w:eastAsia="it-IT"/>
        </w:rPr>
        <w:t xml:space="preserve"> 1852 spazzò via le finzioni e i personaggi</w:t>
      </w:r>
      <w:r w:rsidR="00890E03">
        <w:rPr>
          <w:rFonts w:ascii="Verdana" w:hAnsi="Verdana"/>
          <w:snapToGrid w:val="0"/>
          <w:sz w:val="24"/>
          <w:szCs w:val="24"/>
          <w:lang w:eastAsia="it-IT"/>
        </w:rPr>
        <w:t xml:space="preserve"> </w:t>
      </w:r>
      <w:r w:rsidR="00255AFE" w:rsidRPr="00407000">
        <w:rPr>
          <w:rFonts w:ascii="Verdana" w:hAnsi="Verdana"/>
          <w:snapToGrid w:val="0"/>
          <w:sz w:val="24"/>
          <w:szCs w:val="24"/>
          <w:lang w:eastAsia="it-IT"/>
        </w:rPr>
        <w:t xml:space="preserve">superflui (il </w:t>
      </w:r>
      <w:proofErr w:type="spellStart"/>
      <w:r w:rsidR="00255AFE" w:rsidRPr="00407000">
        <w:rPr>
          <w:rFonts w:ascii="Verdana" w:hAnsi="Verdana"/>
          <w:snapToGrid w:val="0"/>
          <w:sz w:val="24"/>
          <w:szCs w:val="24"/>
          <w:lang w:eastAsia="it-IT"/>
        </w:rPr>
        <w:t>lessee</w:t>
      </w:r>
      <w:proofErr w:type="spellEnd"/>
      <w:r w:rsidR="00255AFE" w:rsidRPr="00407000">
        <w:rPr>
          <w:rFonts w:ascii="Verdana" w:hAnsi="Verdana"/>
          <w:snapToGrid w:val="0"/>
          <w:sz w:val="24"/>
          <w:szCs w:val="24"/>
          <w:lang w:eastAsia="it-IT"/>
        </w:rPr>
        <w:t xml:space="preserve"> fittizio o </w:t>
      </w:r>
      <w:proofErr w:type="spellStart"/>
      <w:r w:rsidR="00255AFE" w:rsidRPr="00407000">
        <w:rPr>
          <w:rFonts w:ascii="Verdana" w:hAnsi="Verdana"/>
          <w:snapToGrid w:val="0"/>
          <w:sz w:val="24"/>
          <w:szCs w:val="24"/>
          <w:lang w:eastAsia="it-IT"/>
        </w:rPr>
        <w:t>nominal</w:t>
      </w:r>
      <w:proofErr w:type="spellEnd"/>
      <w:r w:rsidR="00255AFE" w:rsidRPr="00407000">
        <w:rPr>
          <w:rFonts w:ascii="Verdana" w:hAnsi="Verdana"/>
          <w:snapToGrid w:val="0"/>
          <w:sz w:val="24"/>
          <w:szCs w:val="24"/>
          <w:lang w:eastAsia="it-IT"/>
        </w:rPr>
        <w:t xml:space="preserve"> </w:t>
      </w:r>
      <w:proofErr w:type="spellStart"/>
      <w:r w:rsidR="00255AFE" w:rsidRPr="00407000">
        <w:rPr>
          <w:rFonts w:ascii="Verdana" w:hAnsi="Verdana"/>
          <w:snapToGrid w:val="0"/>
          <w:sz w:val="24"/>
          <w:szCs w:val="24"/>
          <w:lang w:eastAsia="it-IT"/>
        </w:rPr>
        <w:t>plaintiff</w:t>
      </w:r>
      <w:proofErr w:type="spellEnd"/>
      <w:r w:rsidR="00890E03">
        <w:rPr>
          <w:rFonts w:ascii="Verdana" w:hAnsi="Verdana"/>
          <w:snapToGrid w:val="0"/>
          <w:sz w:val="24"/>
          <w:szCs w:val="24"/>
          <w:lang w:eastAsia="it-IT"/>
        </w:rPr>
        <w:t xml:space="preserve"> </w:t>
      </w:r>
      <w:r w:rsidR="00255AFE" w:rsidRPr="00407000">
        <w:rPr>
          <w:rFonts w:ascii="Verdana" w:hAnsi="Verdana"/>
          <w:snapToGrid w:val="0"/>
          <w:sz w:val="24"/>
          <w:szCs w:val="24"/>
          <w:lang w:eastAsia="it-IT"/>
        </w:rPr>
        <w:t xml:space="preserve">- John </w:t>
      </w:r>
      <w:proofErr w:type="spellStart"/>
      <w:r w:rsidR="00255AFE" w:rsidRPr="00407000">
        <w:rPr>
          <w:rFonts w:ascii="Verdana" w:hAnsi="Verdana"/>
          <w:snapToGrid w:val="0"/>
          <w:sz w:val="24"/>
          <w:szCs w:val="24"/>
          <w:lang w:eastAsia="it-IT"/>
        </w:rPr>
        <w:t>Doe</w:t>
      </w:r>
      <w:proofErr w:type="spellEnd"/>
      <w:r w:rsidR="00890E03">
        <w:rPr>
          <w:rFonts w:ascii="Verdana" w:hAnsi="Verdana"/>
          <w:snapToGrid w:val="0"/>
          <w:sz w:val="24"/>
          <w:szCs w:val="24"/>
          <w:lang w:eastAsia="it-IT"/>
        </w:rPr>
        <w:t xml:space="preserve"> </w:t>
      </w:r>
      <w:r w:rsidR="00255AFE" w:rsidRPr="00407000">
        <w:rPr>
          <w:rFonts w:ascii="Verdana" w:hAnsi="Verdana"/>
          <w:snapToGrid w:val="0"/>
          <w:sz w:val="24"/>
          <w:szCs w:val="24"/>
          <w:lang w:eastAsia="it-IT"/>
        </w:rPr>
        <w:t xml:space="preserve">- e il casual </w:t>
      </w:r>
      <w:proofErr w:type="spellStart"/>
      <w:r w:rsidR="00255AFE" w:rsidRPr="00407000">
        <w:rPr>
          <w:rFonts w:ascii="Verdana" w:hAnsi="Verdana"/>
          <w:snapToGrid w:val="0"/>
          <w:sz w:val="24"/>
          <w:szCs w:val="24"/>
          <w:lang w:eastAsia="it-IT"/>
        </w:rPr>
        <w:t>ejector</w:t>
      </w:r>
      <w:proofErr w:type="spellEnd"/>
      <w:r w:rsidR="00255AFE" w:rsidRPr="00407000">
        <w:rPr>
          <w:rFonts w:ascii="Verdana" w:hAnsi="Verdana"/>
          <w:snapToGrid w:val="0"/>
          <w:sz w:val="24"/>
          <w:szCs w:val="24"/>
          <w:lang w:eastAsia="it-IT"/>
        </w:rPr>
        <w:t xml:space="preserve">) lasciando l'attore "out of </w:t>
      </w:r>
      <w:proofErr w:type="spellStart"/>
      <w:r w:rsidR="00255AFE" w:rsidRPr="00407000">
        <w:rPr>
          <w:rFonts w:ascii="Verdana" w:hAnsi="Verdana"/>
          <w:snapToGrid w:val="0"/>
          <w:sz w:val="24"/>
          <w:szCs w:val="24"/>
          <w:lang w:eastAsia="it-IT"/>
        </w:rPr>
        <w:t>possession</w:t>
      </w:r>
      <w:proofErr w:type="spellEnd"/>
      <w:r w:rsidR="00255AFE" w:rsidRPr="00407000">
        <w:rPr>
          <w:rFonts w:ascii="Verdana" w:hAnsi="Verdana"/>
          <w:snapToGrid w:val="0"/>
          <w:sz w:val="24"/>
          <w:szCs w:val="24"/>
          <w:lang w:eastAsia="it-IT"/>
        </w:rPr>
        <w:t xml:space="preserve">" e il convenuto in possesso, faccia a faccia, a confrontarsi sulla qualità del </w:t>
      </w:r>
      <w:proofErr w:type="spellStart"/>
      <w:r w:rsidR="00255AFE" w:rsidRPr="00407000">
        <w:rPr>
          <w:rFonts w:ascii="Verdana" w:hAnsi="Verdana"/>
          <w:snapToGrid w:val="0"/>
          <w:sz w:val="24"/>
          <w:szCs w:val="24"/>
          <w:lang w:eastAsia="it-IT"/>
        </w:rPr>
        <w:t>title</w:t>
      </w:r>
      <w:proofErr w:type="spellEnd"/>
      <w:r w:rsidR="00255AFE" w:rsidRPr="00407000">
        <w:rPr>
          <w:rFonts w:ascii="Verdana" w:hAnsi="Verdana"/>
          <w:snapToGrid w:val="0"/>
          <w:sz w:val="24"/>
          <w:szCs w:val="24"/>
          <w:lang w:eastAsia="it-IT"/>
        </w:rPr>
        <w:t xml:space="preserve"> dell'attore </w:t>
      </w:r>
      <w:r>
        <w:rPr>
          <w:rStyle w:val="Rimandonotaapidipagina"/>
          <w:rFonts w:ascii="Verdana" w:hAnsi="Verdana"/>
          <w:snapToGrid w:val="0"/>
          <w:sz w:val="24"/>
          <w:szCs w:val="24"/>
          <w:lang w:eastAsia="it-IT"/>
        </w:rPr>
        <w:footnoteReference w:id="6"/>
      </w:r>
      <w:r w:rsidR="00890E03">
        <w:rPr>
          <w:rFonts w:ascii="Verdana" w:hAnsi="Verdana"/>
          <w:snapToGrid w:val="0"/>
          <w:sz w:val="24"/>
          <w:szCs w:val="24"/>
          <w:lang w:eastAsia="it-IT"/>
        </w:rPr>
        <w:t>.</w:t>
      </w:r>
    </w:p>
    <w:p w:rsidR="00A63E81" w:rsidRDefault="00A63E81" w:rsidP="00407000">
      <w:pPr>
        <w:rPr>
          <w:rFonts w:ascii="Verdana" w:hAnsi="Verdana"/>
          <w:snapToGrid w:val="0"/>
          <w:sz w:val="24"/>
          <w:szCs w:val="24"/>
          <w:lang w:eastAsia="it-IT"/>
        </w:rPr>
      </w:pPr>
      <w:r>
        <w:rPr>
          <w:rFonts w:ascii="Verdana" w:hAnsi="Verdana"/>
          <w:snapToGrid w:val="0"/>
          <w:sz w:val="24"/>
          <w:szCs w:val="24"/>
          <w:lang w:eastAsia="it-IT"/>
        </w:rPr>
        <w:t xml:space="preserve">Resta da segnalare che l’uso di pseudonimi come </w:t>
      </w:r>
      <w:proofErr w:type="spellStart"/>
      <w:r>
        <w:rPr>
          <w:rFonts w:ascii="Verdana" w:hAnsi="Verdana"/>
          <w:snapToGrid w:val="0"/>
          <w:sz w:val="24"/>
          <w:szCs w:val="24"/>
          <w:lang w:eastAsia="it-IT"/>
        </w:rPr>
        <w:t>Roe</w:t>
      </w:r>
      <w:proofErr w:type="spellEnd"/>
      <w:r>
        <w:rPr>
          <w:rFonts w:ascii="Verdana" w:hAnsi="Verdana"/>
          <w:snapToGrid w:val="0"/>
          <w:sz w:val="24"/>
          <w:szCs w:val="24"/>
          <w:lang w:eastAsia="it-IT"/>
        </w:rPr>
        <w:t xml:space="preserve">, </w:t>
      </w:r>
      <w:proofErr w:type="spellStart"/>
      <w:r>
        <w:rPr>
          <w:rFonts w:ascii="Verdana" w:hAnsi="Verdana"/>
          <w:snapToGrid w:val="0"/>
          <w:sz w:val="24"/>
          <w:szCs w:val="24"/>
          <w:lang w:eastAsia="it-IT"/>
        </w:rPr>
        <w:t>Doe</w:t>
      </w:r>
      <w:proofErr w:type="spellEnd"/>
      <w:r>
        <w:rPr>
          <w:rFonts w:ascii="Verdana" w:hAnsi="Verdana"/>
          <w:snapToGrid w:val="0"/>
          <w:sz w:val="24"/>
          <w:szCs w:val="24"/>
          <w:lang w:eastAsia="it-IT"/>
        </w:rPr>
        <w:t xml:space="preserve">, </w:t>
      </w:r>
      <w:proofErr w:type="spellStart"/>
      <w:r>
        <w:rPr>
          <w:rFonts w:ascii="Verdana" w:hAnsi="Verdana"/>
          <w:snapToGrid w:val="0"/>
          <w:sz w:val="24"/>
          <w:szCs w:val="24"/>
          <w:lang w:eastAsia="it-IT"/>
        </w:rPr>
        <w:t>Shamtitle</w:t>
      </w:r>
      <w:proofErr w:type="spellEnd"/>
      <w:r>
        <w:rPr>
          <w:rFonts w:ascii="Verdana" w:hAnsi="Verdana"/>
          <w:snapToGrid w:val="0"/>
          <w:sz w:val="24"/>
          <w:szCs w:val="24"/>
          <w:lang w:eastAsia="it-IT"/>
        </w:rPr>
        <w:t xml:space="preserve">, </w:t>
      </w:r>
      <w:proofErr w:type="spellStart"/>
      <w:r>
        <w:rPr>
          <w:rFonts w:ascii="Verdana" w:hAnsi="Verdana"/>
          <w:snapToGrid w:val="0"/>
          <w:sz w:val="24"/>
          <w:szCs w:val="24"/>
          <w:lang w:eastAsia="it-IT"/>
        </w:rPr>
        <w:t>Fairclaim</w:t>
      </w:r>
      <w:proofErr w:type="spellEnd"/>
      <w:r>
        <w:rPr>
          <w:rFonts w:ascii="Verdana" w:hAnsi="Verdana"/>
          <w:snapToGrid w:val="0"/>
          <w:sz w:val="24"/>
          <w:szCs w:val="24"/>
          <w:lang w:eastAsia="it-IT"/>
        </w:rPr>
        <w:t xml:space="preserve"> è stato consentito nelle corti di common law</w:t>
      </w:r>
      <w:r>
        <w:rPr>
          <w:rStyle w:val="Rimandonotaapidipagina"/>
          <w:rFonts w:ascii="Verdana" w:hAnsi="Verdana"/>
          <w:snapToGrid w:val="0"/>
          <w:sz w:val="24"/>
          <w:szCs w:val="24"/>
          <w:lang w:eastAsia="it-IT"/>
        </w:rPr>
        <w:footnoteReference w:id="7"/>
      </w:r>
      <w:r w:rsidR="008A7E81">
        <w:rPr>
          <w:rFonts w:ascii="Verdana" w:hAnsi="Verdana"/>
          <w:snapToGrid w:val="0"/>
          <w:sz w:val="24"/>
          <w:szCs w:val="24"/>
          <w:lang w:eastAsia="it-IT"/>
        </w:rPr>
        <w:t xml:space="preserve"> ed </w:t>
      </w:r>
      <w:r>
        <w:rPr>
          <w:rFonts w:ascii="Verdana" w:hAnsi="Verdana"/>
          <w:snapToGrid w:val="0"/>
          <w:sz w:val="24"/>
          <w:szCs w:val="24"/>
          <w:lang w:eastAsia="it-IT"/>
        </w:rPr>
        <w:t xml:space="preserve">è </w:t>
      </w:r>
      <w:r w:rsidR="008A7E81">
        <w:rPr>
          <w:rFonts w:ascii="Verdana" w:hAnsi="Verdana"/>
          <w:snapToGrid w:val="0"/>
          <w:sz w:val="24"/>
          <w:szCs w:val="24"/>
          <w:lang w:eastAsia="it-IT"/>
        </w:rPr>
        <w:t xml:space="preserve">tuttora </w:t>
      </w:r>
      <w:r>
        <w:rPr>
          <w:rFonts w:ascii="Verdana" w:hAnsi="Verdana"/>
          <w:snapToGrid w:val="0"/>
          <w:sz w:val="24"/>
          <w:szCs w:val="24"/>
          <w:lang w:eastAsia="it-IT"/>
        </w:rPr>
        <w:t>possibile chiedere in procedimenti scabrosi di comparire con un nome di fantasia</w:t>
      </w:r>
      <w:r w:rsidR="008A7E81">
        <w:rPr>
          <w:rFonts w:ascii="Verdana" w:hAnsi="Verdana"/>
          <w:snapToGrid w:val="0"/>
          <w:sz w:val="24"/>
          <w:szCs w:val="24"/>
          <w:lang w:eastAsia="it-IT"/>
        </w:rPr>
        <w:t>: come nel celebre caso</w:t>
      </w:r>
      <w:r w:rsidR="00B6468C">
        <w:rPr>
          <w:rFonts w:ascii="Verdana" w:hAnsi="Verdana"/>
          <w:snapToGrid w:val="0"/>
          <w:sz w:val="24"/>
          <w:szCs w:val="24"/>
          <w:lang w:eastAsia="it-IT"/>
        </w:rPr>
        <w:t>,</w:t>
      </w:r>
      <w:r w:rsidR="008A7E81">
        <w:rPr>
          <w:rFonts w:ascii="Verdana" w:hAnsi="Verdana"/>
          <w:snapToGrid w:val="0"/>
          <w:sz w:val="24"/>
          <w:szCs w:val="24"/>
          <w:lang w:eastAsia="it-IT"/>
        </w:rPr>
        <w:t xml:space="preserve"> deciso dalla Corte Suprema USA</w:t>
      </w:r>
      <w:r w:rsidR="00B6468C">
        <w:rPr>
          <w:rFonts w:ascii="Verdana" w:hAnsi="Verdana"/>
          <w:snapToGrid w:val="0"/>
          <w:sz w:val="24"/>
          <w:szCs w:val="24"/>
          <w:lang w:eastAsia="it-IT"/>
        </w:rPr>
        <w:t>,</w:t>
      </w:r>
      <w:r w:rsidR="008A7E81">
        <w:rPr>
          <w:rFonts w:ascii="Verdana" w:hAnsi="Verdana"/>
          <w:snapToGrid w:val="0"/>
          <w:sz w:val="24"/>
          <w:szCs w:val="24"/>
          <w:lang w:eastAsia="it-IT"/>
        </w:rPr>
        <w:t xml:space="preserve"> </w:t>
      </w:r>
      <w:proofErr w:type="spellStart"/>
      <w:r w:rsidR="008A7E81" w:rsidRPr="008A7E81">
        <w:rPr>
          <w:rFonts w:ascii="Verdana" w:hAnsi="Verdana"/>
          <w:i/>
          <w:snapToGrid w:val="0"/>
          <w:sz w:val="24"/>
          <w:szCs w:val="24"/>
          <w:lang w:eastAsia="it-IT"/>
        </w:rPr>
        <w:t>Roe</w:t>
      </w:r>
      <w:proofErr w:type="spellEnd"/>
      <w:r w:rsidR="008A7E81" w:rsidRPr="008A7E81">
        <w:rPr>
          <w:rFonts w:ascii="Verdana" w:hAnsi="Verdana"/>
          <w:i/>
          <w:snapToGrid w:val="0"/>
          <w:sz w:val="24"/>
          <w:szCs w:val="24"/>
          <w:lang w:eastAsia="it-IT"/>
        </w:rPr>
        <w:t xml:space="preserve"> v. </w:t>
      </w:r>
      <w:proofErr w:type="spellStart"/>
      <w:r w:rsidR="008A7E81" w:rsidRPr="008A7E81">
        <w:rPr>
          <w:rFonts w:ascii="Verdana" w:hAnsi="Verdana"/>
          <w:i/>
          <w:snapToGrid w:val="0"/>
          <w:sz w:val="24"/>
          <w:szCs w:val="24"/>
          <w:lang w:eastAsia="it-IT"/>
        </w:rPr>
        <w:t>Wade</w:t>
      </w:r>
      <w:proofErr w:type="spellEnd"/>
      <w:r w:rsidR="008A7E81">
        <w:rPr>
          <w:rFonts w:ascii="Verdana" w:hAnsi="Verdana"/>
          <w:snapToGrid w:val="0"/>
          <w:sz w:val="24"/>
          <w:szCs w:val="24"/>
          <w:lang w:eastAsia="it-IT"/>
        </w:rPr>
        <w:t xml:space="preserve"> nel 1973 sulla legittimità del diritto di abortire entro il primo trimestre della gravidanza</w:t>
      </w:r>
      <w:r w:rsidR="00B6468C">
        <w:rPr>
          <w:rStyle w:val="Rimandonotaapidipagina"/>
          <w:rFonts w:ascii="Verdana" w:hAnsi="Verdana"/>
          <w:snapToGrid w:val="0"/>
          <w:sz w:val="24"/>
          <w:szCs w:val="24"/>
          <w:lang w:eastAsia="it-IT"/>
        </w:rPr>
        <w:footnoteReference w:id="8"/>
      </w:r>
      <w:r w:rsidR="008A7E81">
        <w:rPr>
          <w:rFonts w:ascii="Verdana" w:hAnsi="Verdana"/>
          <w:snapToGrid w:val="0"/>
          <w:sz w:val="24"/>
          <w:szCs w:val="24"/>
          <w:lang w:eastAsia="it-IT"/>
        </w:rPr>
        <w:t>.</w:t>
      </w:r>
    </w:p>
    <w:p w:rsidR="00890E03" w:rsidRPr="00407000" w:rsidRDefault="00890E03" w:rsidP="00407000">
      <w:pPr>
        <w:rPr>
          <w:rFonts w:ascii="Verdana" w:hAnsi="Verdana"/>
          <w:snapToGrid w:val="0"/>
          <w:sz w:val="24"/>
          <w:szCs w:val="24"/>
          <w:lang w:eastAsia="it-IT"/>
        </w:rPr>
      </w:pPr>
    </w:p>
    <w:p w:rsidR="00255AFE" w:rsidRPr="00407000" w:rsidRDefault="00255AFE" w:rsidP="00407000">
      <w:pPr>
        <w:rPr>
          <w:rFonts w:ascii="Verdana" w:hAnsi="Verdana"/>
          <w:snapToGrid w:val="0"/>
          <w:sz w:val="24"/>
          <w:szCs w:val="24"/>
          <w:lang w:eastAsia="it-IT"/>
        </w:rPr>
      </w:pPr>
    </w:p>
    <w:p w:rsidR="00255AFE" w:rsidRPr="00407000" w:rsidRDefault="00255AFE" w:rsidP="00407000">
      <w:pPr>
        <w:rPr>
          <w:rFonts w:ascii="Verdana" w:hAnsi="Verdana"/>
          <w:snapToGrid w:val="0"/>
          <w:sz w:val="24"/>
          <w:szCs w:val="24"/>
          <w:lang w:eastAsia="it-IT"/>
        </w:rPr>
      </w:pPr>
    </w:p>
    <w:p w:rsidR="00255AFE" w:rsidRPr="00E9115D" w:rsidRDefault="00255AFE" w:rsidP="00407000">
      <w:pPr>
        <w:pStyle w:val="NormaleWeb"/>
        <w:spacing w:line="276" w:lineRule="auto"/>
        <w:rPr>
          <w:rFonts w:ascii="Verdana" w:hAnsi="Verdana"/>
        </w:rPr>
      </w:pPr>
    </w:p>
    <w:p w:rsidR="00360F9C" w:rsidRPr="00407000" w:rsidRDefault="00360F9C" w:rsidP="00407000">
      <w:pPr>
        <w:pStyle w:val="Testonormale"/>
        <w:spacing w:line="276" w:lineRule="auto"/>
        <w:rPr>
          <w:rFonts w:ascii="Verdana" w:hAnsi="Verdana" w:cs="Courier New"/>
          <w:sz w:val="24"/>
          <w:szCs w:val="24"/>
        </w:rPr>
      </w:pPr>
    </w:p>
    <w:p w:rsidR="005F2465" w:rsidRPr="00407000" w:rsidRDefault="005F2465" w:rsidP="00407000">
      <w:pPr>
        <w:pStyle w:val="Testonormale"/>
        <w:spacing w:line="276" w:lineRule="auto"/>
        <w:rPr>
          <w:rFonts w:ascii="Verdana" w:hAnsi="Verdana" w:cs="Courier New"/>
          <w:sz w:val="24"/>
          <w:szCs w:val="24"/>
        </w:rPr>
      </w:pPr>
    </w:p>
    <w:p w:rsidR="003A7416" w:rsidRPr="00407000" w:rsidRDefault="003A7416" w:rsidP="00407000">
      <w:pPr>
        <w:pStyle w:val="Testonormale"/>
        <w:spacing w:line="276" w:lineRule="auto"/>
        <w:rPr>
          <w:rFonts w:ascii="Verdana" w:hAnsi="Verdana" w:cs="Courier New"/>
          <w:sz w:val="24"/>
          <w:szCs w:val="24"/>
        </w:rPr>
      </w:pPr>
    </w:p>
    <w:sectPr w:rsidR="003A7416" w:rsidRPr="0040700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7FC" w:rsidRDefault="00CF07FC" w:rsidP="003A6F51">
      <w:pPr>
        <w:spacing w:after="0" w:line="240" w:lineRule="auto"/>
      </w:pPr>
      <w:r>
        <w:separator/>
      </w:r>
    </w:p>
  </w:endnote>
  <w:endnote w:type="continuationSeparator" w:id="0">
    <w:p w:rsidR="00CF07FC" w:rsidRDefault="00CF07FC" w:rsidP="003A6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ourier 12 CPI">
    <w:panose1 w:val="00000000000000000000"/>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7FC" w:rsidRDefault="00CF07FC" w:rsidP="003A6F51">
      <w:pPr>
        <w:spacing w:after="0" w:line="240" w:lineRule="auto"/>
      </w:pPr>
      <w:r>
        <w:separator/>
      </w:r>
    </w:p>
  </w:footnote>
  <w:footnote w:type="continuationSeparator" w:id="0">
    <w:p w:rsidR="00CF07FC" w:rsidRDefault="00CF07FC" w:rsidP="003A6F51">
      <w:pPr>
        <w:spacing w:after="0" w:line="240" w:lineRule="auto"/>
      </w:pPr>
      <w:r>
        <w:continuationSeparator/>
      </w:r>
    </w:p>
  </w:footnote>
  <w:footnote w:id="1">
    <w:p w:rsidR="003A7416" w:rsidRPr="00E01971" w:rsidRDefault="003A7416" w:rsidP="00E01971">
      <w:pPr>
        <w:pStyle w:val="Testonormale"/>
        <w:rPr>
          <w:rFonts w:ascii="Verdana" w:hAnsi="Verdana" w:cs="Courier New"/>
          <w:sz w:val="22"/>
          <w:szCs w:val="22"/>
        </w:rPr>
      </w:pPr>
      <w:r w:rsidRPr="00E01971">
        <w:rPr>
          <w:rStyle w:val="Rimandonotaapidipagina"/>
          <w:rFonts w:ascii="Verdana" w:hAnsi="Verdana"/>
          <w:sz w:val="22"/>
          <w:szCs w:val="22"/>
        </w:rPr>
        <w:footnoteRef/>
      </w:r>
      <w:r w:rsidRPr="00E01971">
        <w:rPr>
          <w:rFonts w:ascii="Verdana" w:hAnsi="Verdana"/>
          <w:sz w:val="22"/>
          <w:szCs w:val="22"/>
          <w:lang w:val="en-US"/>
        </w:rPr>
        <w:t xml:space="preserve"> A. </w:t>
      </w:r>
      <w:r w:rsidR="00F33D7A" w:rsidRPr="00E01971">
        <w:rPr>
          <w:rFonts w:ascii="Verdana" w:hAnsi="Verdana"/>
          <w:sz w:val="22"/>
          <w:szCs w:val="22"/>
          <w:lang w:val="en-US"/>
        </w:rPr>
        <w:t>WATSON</w:t>
      </w:r>
      <w:r w:rsidRPr="00E01971">
        <w:rPr>
          <w:rFonts w:ascii="Verdana" w:hAnsi="Verdana"/>
          <w:sz w:val="22"/>
          <w:szCs w:val="22"/>
          <w:lang w:val="en-US"/>
        </w:rPr>
        <w:t xml:space="preserve">, </w:t>
      </w:r>
      <w:r w:rsidRPr="00F33D7A">
        <w:rPr>
          <w:rFonts w:ascii="Verdana" w:hAnsi="Verdana" w:cs="Courier New"/>
          <w:i/>
          <w:sz w:val="22"/>
          <w:szCs w:val="22"/>
          <w:lang w:val="en-US"/>
        </w:rPr>
        <w:t>Legal Change: sources of  law and legal culture</w:t>
      </w:r>
      <w:r w:rsidRPr="00E01971">
        <w:rPr>
          <w:rFonts w:ascii="Verdana" w:hAnsi="Verdana" w:cs="Courier New"/>
          <w:sz w:val="22"/>
          <w:szCs w:val="22"/>
          <w:lang w:val="en-US"/>
        </w:rPr>
        <w:t xml:space="preserve">,  </w:t>
      </w:r>
      <w:r w:rsidR="005F2465">
        <w:rPr>
          <w:rFonts w:ascii="Verdana" w:hAnsi="Verdana" w:cs="Courier New"/>
          <w:sz w:val="22"/>
          <w:szCs w:val="22"/>
          <w:lang w:val="en-US"/>
        </w:rPr>
        <w:t>(</w:t>
      </w:r>
      <w:r w:rsidRPr="00E01971">
        <w:rPr>
          <w:rFonts w:ascii="Verdana" w:hAnsi="Verdana" w:cs="Courier New"/>
          <w:sz w:val="22"/>
          <w:szCs w:val="22"/>
          <w:lang w:val="en-US"/>
        </w:rPr>
        <w:t>1983</w:t>
      </w:r>
      <w:r w:rsidR="005F2465">
        <w:rPr>
          <w:rFonts w:ascii="Verdana" w:hAnsi="Verdana" w:cs="Courier New"/>
          <w:sz w:val="22"/>
          <w:szCs w:val="22"/>
          <w:lang w:val="en-US"/>
        </w:rPr>
        <w:t>)</w:t>
      </w:r>
      <w:r w:rsidRPr="00E01971">
        <w:rPr>
          <w:rFonts w:ascii="Verdana" w:hAnsi="Verdana" w:cs="Courier New"/>
          <w:sz w:val="22"/>
          <w:szCs w:val="22"/>
          <w:lang w:val="en-US"/>
        </w:rPr>
        <w:t xml:space="preserve"> </w:t>
      </w:r>
      <w:r w:rsidRPr="005F2465">
        <w:rPr>
          <w:rFonts w:ascii="Verdana" w:hAnsi="Verdana" w:cs="Courier New"/>
          <w:i/>
          <w:sz w:val="22"/>
          <w:szCs w:val="22"/>
          <w:lang w:val="en-US"/>
        </w:rPr>
        <w:t>Un. of</w:t>
      </w:r>
      <w:r w:rsidRPr="00E01971">
        <w:rPr>
          <w:rFonts w:ascii="Verdana" w:hAnsi="Verdana" w:cs="Courier New"/>
          <w:sz w:val="22"/>
          <w:szCs w:val="22"/>
          <w:lang w:val="en-US"/>
        </w:rPr>
        <w:t xml:space="preserve"> </w:t>
      </w:r>
      <w:r w:rsidRPr="005F2465">
        <w:rPr>
          <w:rFonts w:ascii="Verdana" w:hAnsi="Verdana" w:cs="Courier New"/>
          <w:i/>
          <w:sz w:val="22"/>
          <w:szCs w:val="22"/>
          <w:lang w:val="en-US"/>
        </w:rPr>
        <w:t>Pennsylv</w:t>
      </w:r>
      <w:r w:rsidR="00E01971" w:rsidRPr="005F2465">
        <w:rPr>
          <w:rFonts w:ascii="Verdana" w:hAnsi="Verdana" w:cs="Courier New"/>
          <w:i/>
          <w:sz w:val="22"/>
          <w:szCs w:val="22"/>
          <w:lang w:val="en-US"/>
        </w:rPr>
        <w:t>ania</w:t>
      </w:r>
      <w:r w:rsidRPr="005F2465">
        <w:rPr>
          <w:rFonts w:ascii="Verdana" w:hAnsi="Verdana" w:cs="Courier New"/>
          <w:i/>
          <w:sz w:val="22"/>
          <w:szCs w:val="22"/>
          <w:lang w:val="en-US"/>
        </w:rPr>
        <w:t xml:space="preserve"> </w:t>
      </w:r>
      <w:r w:rsidR="00E01971" w:rsidRPr="005F2465">
        <w:rPr>
          <w:rFonts w:ascii="Verdana" w:hAnsi="Verdana" w:cs="Courier New"/>
          <w:i/>
          <w:sz w:val="22"/>
          <w:szCs w:val="22"/>
          <w:lang w:val="en-US"/>
        </w:rPr>
        <w:t>L</w:t>
      </w:r>
      <w:r w:rsidRPr="005F2465">
        <w:rPr>
          <w:rFonts w:ascii="Verdana" w:hAnsi="Verdana" w:cs="Courier New"/>
          <w:i/>
          <w:sz w:val="22"/>
          <w:szCs w:val="22"/>
          <w:lang w:val="en-US"/>
        </w:rPr>
        <w:t>. Rev</w:t>
      </w:r>
      <w:r w:rsidR="005F2465">
        <w:rPr>
          <w:rFonts w:ascii="Verdana" w:hAnsi="Verdana" w:cs="Courier New"/>
          <w:sz w:val="22"/>
          <w:szCs w:val="22"/>
          <w:lang w:val="en-US"/>
        </w:rPr>
        <w:t>.,</w:t>
      </w:r>
      <w:r w:rsidRPr="005F2465">
        <w:rPr>
          <w:rFonts w:ascii="Verdana" w:hAnsi="Verdana" w:cs="Courier New"/>
          <w:sz w:val="22"/>
          <w:szCs w:val="22"/>
          <w:lang w:val="en-US"/>
        </w:rPr>
        <w:t xml:space="preserve"> p. 1143. </w:t>
      </w:r>
      <w:r w:rsidRPr="00E01971">
        <w:rPr>
          <w:rFonts w:ascii="Verdana" w:hAnsi="Verdana" w:cs="Courier New"/>
          <w:sz w:val="22"/>
          <w:szCs w:val="22"/>
        </w:rPr>
        <w:t>L’osservazione scaturisce dall’affermazione di Dav</w:t>
      </w:r>
      <w:r w:rsidR="005F2465">
        <w:rPr>
          <w:rFonts w:ascii="Verdana" w:hAnsi="Verdana" w:cs="Courier New"/>
          <w:sz w:val="22"/>
          <w:szCs w:val="22"/>
        </w:rPr>
        <w:t xml:space="preserve">id </w:t>
      </w:r>
      <w:proofErr w:type="spellStart"/>
      <w:r w:rsidR="005F2465">
        <w:rPr>
          <w:rFonts w:ascii="Verdana" w:hAnsi="Verdana" w:cs="Courier New"/>
          <w:sz w:val="22"/>
          <w:szCs w:val="22"/>
        </w:rPr>
        <w:t>Daube</w:t>
      </w:r>
      <w:proofErr w:type="spellEnd"/>
      <w:r w:rsidR="005F2465">
        <w:rPr>
          <w:rFonts w:ascii="Verdana" w:hAnsi="Verdana" w:cs="Courier New"/>
          <w:sz w:val="22"/>
          <w:szCs w:val="22"/>
        </w:rPr>
        <w:t xml:space="preserve"> che “i Romani  </w:t>
      </w:r>
      <w:r w:rsidRPr="00E01971">
        <w:rPr>
          <w:rFonts w:ascii="Verdana" w:hAnsi="Verdana" w:cs="Courier New"/>
          <w:sz w:val="22"/>
          <w:szCs w:val="22"/>
        </w:rPr>
        <w:t>della c</w:t>
      </w:r>
      <w:r w:rsidR="005F2465">
        <w:rPr>
          <w:rFonts w:ascii="Verdana" w:hAnsi="Verdana" w:cs="Courier New"/>
          <w:sz w:val="22"/>
          <w:szCs w:val="22"/>
        </w:rPr>
        <w:t xml:space="preserve">lasse più elevata conservarono </w:t>
      </w:r>
      <w:r w:rsidRPr="00E01971">
        <w:rPr>
          <w:rFonts w:ascii="Verdana" w:hAnsi="Verdana" w:cs="Courier New"/>
          <w:sz w:val="22"/>
          <w:szCs w:val="22"/>
        </w:rPr>
        <w:t>queste incredibili regole  per il fatto che vi vedevano qualcosa che esprimeva e  salvaguardava la propria superiorità sul volgo straniero... Non c'è limite agli inconvenienti che la gente è disposta a sopportare per ragioni di status, di nazionalità</w:t>
      </w:r>
      <w:r w:rsidR="00E01971">
        <w:rPr>
          <w:rFonts w:ascii="Verdana" w:hAnsi="Verdana" w:cs="Courier New"/>
          <w:sz w:val="22"/>
          <w:szCs w:val="22"/>
        </w:rPr>
        <w:t xml:space="preserve"> o di setta...". </w:t>
      </w:r>
    </w:p>
  </w:footnote>
  <w:footnote w:id="2">
    <w:p w:rsidR="003A6F51" w:rsidRPr="00E01971" w:rsidRDefault="003A6F51" w:rsidP="0031009B">
      <w:pPr>
        <w:pStyle w:val="Testonormale"/>
        <w:rPr>
          <w:rFonts w:ascii="Verdana" w:hAnsi="Verdana"/>
          <w:sz w:val="22"/>
          <w:szCs w:val="22"/>
          <w:lang w:val="en-US"/>
        </w:rPr>
      </w:pPr>
      <w:r w:rsidRPr="00E01971">
        <w:rPr>
          <w:rStyle w:val="Rimandonotaapidipagina"/>
          <w:rFonts w:ascii="Verdana" w:hAnsi="Verdana"/>
          <w:sz w:val="22"/>
          <w:szCs w:val="22"/>
        </w:rPr>
        <w:footnoteRef/>
      </w:r>
      <w:r w:rsidRPr="00E01971">
        <w:rPr>
          <w:rFonts w:ascii="Verdana" w:hAnsi="Verdana"/>
          <w:sz w:val="22"/>
          <w:szCs w:val="22"/>
          <w:lang w:val="en-US"/>
        </w:rPr>
        <w:t xml:space="preserve"> </w:t>
      </w:r>
      <w:r w:rsidRPr="00E01971">
        <w:rPr>
          <w:rFonts w:ascii="Verdana" w:hAnsi="Verdana" w:cs="Courier New"/>
          <w:i/>
          <w:sz w:val="22"/>
          <w:szCs w:val="22"/>
          <w:lang w:val="en-US"/>
        </w:rPr>
        <w:t>Society and Legal Change</w:t>
      </w:r>
      <w:r w:rsidRPr="00E01971">
        <w:rPr>
          <w:rFonts w:ascii="Verdana" w:hAnsi="Verdana" w:cs="Courier New"/>
          <w:sz w:val="22"/>
          <w:szCs w:val="22"/>
          <w:lang w:val="en-US"/>
        </w:rPr>
        <w:t xml:space="preserve">, </w:t>
      </w:r>
      <w:proofErr w:type="spellStart"/>
      <w:r w:rsidRPr="00E01971">
        <w:rPr>
          <w:rFonts w:ascii="Verdana" w:hAnsi="Verdana" w:cs="Courier New"/>
          <w:sz w:val="22"/>
          <w:szCs w:val="22"/>
          <w:lang w:val="en-US"/>
        </w:rPr>
        <w:t>Edimburgo</w:t>
      </w:r>
      <w:proofErr w:type="spellEnd"/>
      <w:r w:rsidRPr="00E01971">
        <w:rPr>
          <w:rFonts w:ascii="Verdana" w:hAnsi="Verdana" w:cs="Courier New"/>
          <w:sz w:val="22"/>
          <w:szCs w:val="22"/>
          <w:lang w:val="en-US"/>
        </w:rPr>
        <w:t xml:space="preserve">, 1977, p.78. V. </w:t>
      </w:r>
      <w:proofErr w:type="spellStart"/>
      <w:r w:rsidRPr="00E01971">
        <w:rPr>
          <w:rFonts w:ascii="Verdana" w:hAnsi="Verdana" w:cs="Courier New"/>
          <w:sz w:val="22"/>
          <w:szCs w:val="22"/>
          <w:lang w:val="en-US"/>
        </w:rPr>
        <w:t>anche</w:t>
      </w:r>
      <w:proofErr w:type="spellEnd"/>
      <w:r w:rsidRPr="00E01971">
        <w:rPr>
          <w:rFonts w:ascii="Verdana" w:hAnsi="Verdana" w:cs="Courier New"/>
          <w:sz w:val="22"/>
          <w:szCs w:val="22"/>
          <w:lang w:val="en-US"/>
        </w:rPr>
        <w:t xml:space="preserve"> Failures of Legal Imagination (</w:t>
      </w:r>
      <w:proofErr w:type="spellStart"/>
      <w:r w:rsidRPr="00E01971">
        <w:rPr>
          <w:rFonts w:ascii="Verdana" w:hAnsi="Verdana" w:cs="Courier New"/>
          <w:sz w:val="22"/>
          <w:szCs w:val="22"/>
          <w:lang w:val="en-US"/>
        </w:rPr>
        <w:t>Filadelfia</w:t>
      </w:r>
      <w:proofErr w:type="spellEnd"/>
      <w:r w:rsidRPr="00E01971">
        <w:rPr>
          <w:rFonts w:ascii="Verdana" w:hAnsi="Verdana" w:cs="Courier New"/>
          <w:sz w:val="22"/>
          <w:szCs w:val="22"/>
          <w:lang w:val="en-US"/>
        </w:rPr>
        <w:t xml:space="preserve">, 1988), Evolution of Law: Continued, 5 Law and History Rev. </w:t>
      </w:r>
      <w:r w:rsidR="00F33D7A">
        <w:rPr>
          <w:rFonts w:ascii="Verdana" w:hAnsi="Verdana" w:cs="Courier New"/>
          <w:sz w:val="22"/>
          <w:szCs w:val="22"/>
          <w:lang w:val="en-US"/>
        </w:rPr>
        <w:t>(1987), 537 ss..</w:t>
      </w:r>
    </w:p>
  </w:footnote>
  <w:footnote w:id="3">
    <w:p w:rsidR="00E9115D" w:rsidRPr="00407000" w:rsidRDefault="00E9115D" w:rsidP="00A63E81">
      <w:pPr>
        <w:rPr>
          <w:rFonts w:ascii="Verdana" w:hAnsi="Verdana"/>
          <w:lang w:val="en-US"/>
        </w:rPr>
      </w:pPr>
      <w:r w:rsidRPr="00407000">
        <w:rPr>
          <w:rStyle w:val="Rimandonotaapidipagina"/>
          <w:rFonts w:ascii="Verdana" w:hAnsi="Verdana"/>
        </w:rPr>
        <w:footnoteRef/>
      </w:r>
      <w:r w:rsidRPr="00407000">
        <w:rPr>
          <w:rFonts w:ascii="Verdana" w:hAnsi="Verdana"/>
        </w:rPr>
        <w:t xml:space="preserve"> Ciascuna </w:t>
      </w:r>
      <w:proofErr w:type="spellStart"/>
      <w:r w:rsidRPr="00407000">
        <w:rPr>
          <w:rFonts w:ascii="Verdana" w:hAnsi="Verdana"/>
        </w:rPr>
        <w:t>real</w:t>
      </w:r>
      <w:proofErr w:type="spellEnd"/>
      <w:r w:rsidRPr="00407000">
        <w:rPr>
          <w:rFonts w:ascii="Verdana" w:hAnsi="Verdana"/>
        </w:rPr>
        <w:t xml:space="preserve"> </w:t>
      </w:r>
      <w:proofErr w:type="spellStart"/>
      <w:r w:rsidRPr="00407000">
        <w:rPr>
          <w:rFonts w:ascii="Verdana" w:hAnsi="Verdana"/>
          <w:snapToGrid w:val="0"/>
          <w:lang w:eastAsia="it-IT"/>
        </w:rPr>
        <w:t>action</w:t>
      </w:r>
      <w:proofErr w:type="spellEnd"/>
      <w:r w:rsidRPr="00407000">
        <w:rPr>
          <w:rFonts w:ascii="Verdana" w:hAnsi="Verdana"/>
          <w:snapToGrid w:val="0"/>
          <w:lang w:eastAsia="it-IT"/>
        </w:rPr>
        <w:t xml:space="preserve"> (</w:t>
      </w:r>
      <w:r w:rsidRPr="00407000">
        <w:rPr>
          <w:rFonts w:ascii="Verdana" w:hAnsi="Verdana"/>
          <w:snapToGrid w:val="0"/>
          <w:lang w:eastAsia="it-IT"/>
        </w:rPr>
        <w:t xml:space="preserve">che si trattasse del </w:t>
      </w:r>
      <w:proofErr w:type="spellStart"/>
      <w:r w:rsidRPr="00A63E81">
        <w:rPr>
          <w:rFonts w:ascii="Verdana" w:hAnsi="Verdana"/>
          <w:i/>
          <w:snapToGrid w:val="0"/>
          <w:lang w:eastAsia="it-IT"/>
        </w:rPr>
        <w:t>writ</w:t>
      </w:r>
      <w:proofErr w:type="spellEnd"/>
      <w:r w:rsidRPr="00A63E81">
        <w:rPr>
          <w:rFonts w:ascii="Verdana" w:hAnsi="Verdana"/>
          <w:i/>
          <w:snapToGrid w:val="0"/>
          <w:lang w:eastAsia="it-IT"/>
        </w:rPr>
        <w:t xml:space="preserve"> of right</w:t>
      </w:r>
      <w:r w:rsidRPr="00407000">
        <w:rPr>
          <w:rFonts w:ascii="Verdana" w:hAnsi="Verdana"/>
          <w:snapToGrid w:val="0"/>
          <w:lang w:eastAsia="it-IT"/>
        </w:rPr>
        <w:t xml:space="preserve">, del </w:t>
      </w:r>
      <w:proofErr w:type="spellStart"/>
      <w:r w:rsidRPr="00A63E81">
        <w:rPr>
          <w:rFonts w:ascii="Verdana" w:hAnsi="Verdana"/>
          <w:i/>
          <w:snapToGrid w:val="0"/>
          <w:lang w:eastAsia="it-IT"/>
        </w:rPr>
        <w:t>writ</w:t>
      </w:r>
      <w:proofErr w:type="spellEnd"/>
      <w:r w:rsidRPr="00A63E81">
        <w:rPr>
          <w:rFonts w:ascii="Verdana" w:hAnsi="Verdana"/>
          <w:i/>
          <w:snapToGrid w:val="0"/>
          <w:lang w:eastAsia="it-IT"/>
        </w:rPr>
        <w:t xml:space="preserve"> of entry</w:t>
      </w:r>
      <w:r w:rsidRPr="00407000">
        <w:rPr>
          <w:rFonts w:ascii="Verdana" w:hAnsi="Verdana"/>
          <w:snapToGrid w:val="0"/>
          <w:lang w:eastAsia="it-IT"/>
        </w:rPr>
        <w:t xml:space="preserve"> </w:t>
      </w:r>
      <w:r w:rsidR="00255AFE" w:rsidRPr="00407000">
        <w:rPr>
          <w:rFonts w:ascii="Verdana" w:hAnsi="Verdana"/>
          <w:snapToGrid w:val="0"/>
          <w:lang w:eastAsia="it-IT"/>
        </w:rPr>
        <w:t xml:space="preserve">o </w:t>
      </w:r>
      <w:r w:rsidRPr="00A63E81">
        <w:rPr>
          <w:rFonts w:ascii="Verdana" w:hAnsi="Verdana"/>
          <w:i/>
          <w:snapToGrid w:val="0"/>
          <w:lang w:eastAsia="it-IT"/>
        </w:rPr>
        <w:t>dell'</w:t>
      </w:r>
      <w:proofErr w:type="spellStart"/>
      <w:r w:rsidRPr="00A63E81">
        <w:rPr>
          <w:rFonts w:ascii="Verdana" w:hAnsi="Verdana"/>
          <w:i/>
          <w:snapToGrid w:val="0"/>
          <w:lang w:eastAsia="it-IT"/>
        </w:rPr>
        <w:t>assize</w:t>
      </w:r>
      <w:proofErr w:type="spellEnd"/>
      <w:r w:rsidRPr="00A63E81">
        <w:rPr>
          <w:rFonts w:ascii="Verdana" w:hAnsi="Verdana"/>
          <w:i/>
          <w:snapToGrid w:val="0"/>
          <w:lang w:eastAsia="it-IT"/>
        </w:rPr>
        <w:t xml:space="preserve"> de </w:t>
      </w:r>
      <w:proofErr w:type="spellStart"/>
      <w:r w:rsidRPr="00A63E81">
        <w:rPr>
          <w:rFonts w:ascii="Verdana" w:hAnsi="Verdana"/>
          <w:i/>
          <w:snapToGrid w:val="0"/>
          <w:lang w:eastAsia="it-IT"/>
        </w:rPr>
        <w:t>novel</w:t>
      </w:r>
      <w:proofErr w:type="spellEnd"/>
      <w:r w:rsidRPr="00A63E81">
        <w:rPr>
          <w:rFonts w:ascii="Verdana" w:hAnsi="Verdana"/>
          <w:i/>
          <w:snapToGrid w:val="0"/>
          <w:lang w:eastAsia="it-IT"/>
        </w:rPr>
        <w:t xml:space="preserve"> </w:t>
      </w:r>
      <w:proofErr w:type="spellStart"/>
      <w:r w:rsidRPr="00A63E81">
        <w:rPr>
          <w:rFonts w:ascii="Verdana" w:hAnsi="Verdana"/>
          <w:i/>
          <w:snapToGrid w:val="0"/>
          <w:lang w:eastAsia="it-IT"/>
        </w:rPr>
        <w:t>disseisin</w:t>
      </w:r>
      <w:proofErr w:type="spellEnd"/>
      <w:r w:rsidR="00255AFE" w:rsidRPr="00407000">
        <w:rPr>
          <w:rFonts w:ascii="Verdana" w:hAnsi="Verdana"/>
          <w:snapToGrid w:val="0"/>
          <w:lang w:eastAsia="it-IT"/>
        </w:rPr>
        <w:t>)</w:t>
      </w:r>
      <w:r w:rsidRPr="00407000">
        <w:rPr>
          <w:rFonts w:ascii="Verdana" w:hAnsi="Verdana"/>
          <w:snapToGrid w:val="0"/>
          <w:lang w:eastAsia="it-IT"/>
        </w:rPr>
        <w:t>, era destinata a reagire ad un solo</w:t>
      </w:r>
      <w:r w:rsidR="00255AFE" w:rsidRPr="00407000">
        <w:rPr>
          <w:rFonts w:ascii="Verdana" w:hAnsi="Verdana"/>
          <w:snapToGrid w:val="0"/>
          <w:lang w:eastAsia="it-IT"/>
        </w:rPr>
        <w:t xml:space="preserve"> </w:t>
      </w:r>
      <w:r w:rsidRPr="00407000">
        <w:rPr>
          <w:rFonts w:ascii="Verdana" w:hAnsi="Verdana"/>
          <w:snapToGrid w:val="0"/>
          <w:lang w:eastAsia="it-IT"/>
        </w:rPr>
        <w:t>tipo di "</w:t>
      </w:r>
      <w:proofErr w:type="spellStart"/>
      <w:r w:rsidRPr="00407000">
        <w:rPr>
          <w:rFonts w:ascii="Verdana" w:hAnsi="Verdana"/>
          <w:snapToGrid w:val="0"/>
          <w:lang w:eastAsia="it-IT"/>
        </w:rPr>
        <w:t>disturbance</w:t>
      </w:r>
      <w:proofErr w:type="spellEnd"/>
      <w:r w:rsidRPr="00407000">
        <w:rPr>
          <w:rFonts w:ascii="Verdana" w:hAnsi="Verdana"/>
          <w:snapToGrid w:val="0"/>
          <w:lang w:eastAsia="it-IT"/>
        </w:rPr>
        <w:t xml:space="preserve"> of </w:t>
      </w:r>
      <w:proofErr w:type="spellStart"/>
      <w:r w:rsidRPr="00407000">
        <w:rPr>
          <w:rFonts w:ascii="Verdana" w:hAnsi="Verdana"/>
          <w:snapToGrid w:val="0"/>
          <w:lang w:eastAsia="it-IT"/>
        </w:rPr>
        <w:t>possession</w:t>
      </w:r>
      <w:proofErr w:type="spellEnd"/>
      <w:r w:rsidRPr="00407000">
        <w:rPr>
          <w:rFonts w:ascii="Verdana" w:hAnsi="Verdana"/>
          <w:snapToGrid w:val="0"/>
          <w:lang w:eastAsia="it-IT"/>
        </w:rPr>
        <w:t>", ad un solo genere di interferenza c</w:t>
      </w:r>
      <w:r w:rsidR="00255AFE" w:rsidRPr="00407000">
        <w:rPr>
          <w:rFonts w:ascii="Verdana" w:hAnsi="Verdana"/>
          <w:snapToGrid w:val="0"/>
          <w:lang w:eastAsia="it-IT"/>
        </w:rPr>
        <w:t>ol possesso</w:t>
      </w:r>
      <w:r w:rsidRPr="00407000">
        <w:rPr>
          <w:rFonts w:ascii="Verdana" w:hAnsi="Verdana"/>
          <w:snapToGrid w:val="0"/>
          <w:lang w:eastAsia="it-IT"/>
        </w:rPr>
        <w:t>. Proprio la limi</w:t>
      </w:r>
      <w:r w:rsidR="00255AFE" w:rsidRPr="00407000">
        <w:rPr>
          <w:rFonts w:ascii="Verdana" w:hAnsi="Verdana"/>
          <w:snapToGrid w:val="0"/>
          <w:lang w:eastAsia="it-IT"/>
        </w:rPr>
        <w:t xml:space="preserve">tatezza di ciascuna difesa, la </w:t>
      </w:r>
      <w:r w:rsidRPr="00407000">
        <w:rPr>
          <w:rFonts w:ascii="Verdana" w:hAnsi="Verdana"/>
          <w:snapToGrid w:val="0"/>
          <w:lang w:eastAsia="it-IT"/>
        </w:rPr>
        <w:t>precisione richiesta per ogn</w:t>
      </w:r>
      <w:r w:rsidR="00255AFE" w:rsidRPr="00407000">
        <w:rPr>
          <w:rFonts w:ascii="Verdana" w:hAnsi="Verdana"/>
          <w:snapToGrid w:val="0"/>
          <w:lang w:eastAsia="it-IT"/>
        </w:rPr>
        <w:t xml:space="preserve">i affermazione contenuta nella </w:t>
      </w:r>
      <w:r w:rsidRPr="00407000">
        <w:rPr>
          <w:rFonts w:ascii="Verdana" w:hAnsi="Verdana"/>
          <w:snapToGrid w:val="0"/>
          <w:lang w:eastAsia="it-IT"/>
        </w:rPr>
        <w:t xml:space="preserve">domanda, la irrevocabilità della scelta compiuta </w:t>
      </w:r>
      <w:r w:rsidR="00255AFE" w:rsidRPr="00407000">
        <w:rPr>
          <w:rFonts w:ascii="Verdana" w:hAnsi="Verdana"/>
          <w:snapToGrid w:val="0"/>
          <w:lang w:eastAsia="it-IT"/>
        </w:rPr>
        <w:t>(</w:t>
      </w:r>
      <w:r w:rsidRPr="00407000">
        <w:rPr>
          <w:rFonts w:ascii="Verdana" w:hAnsi="Verdana"/>
          <w:snapToGrid w:val="0"/>
          <w:lang w:eastAsia="it-IT"/>
        </w:rPr>
        <w:t>proponendo l'una piuttosto che l'altra forma d'azione</w:t>
      </w:r>
      <w:r w:rsidR="00255AFE" w:rsidRPr="00407000">
        <w:rPr>
          <w:rFonts w:ascii="Verdana" w:hAnsi="Verdana"/>
          <w:snapToGrid w:val="0"/>
          <w:lang w:eastAsia="it-IT"/>
        </w:rPr>
        <w:t>)</w:t>
      </w:r>
      <w:r w:rsidRPr="00407000">
        <w:rPr>
          <w:rFonts w:ascii="Verdana" w:hAnsi="Verdana"/>
          <w:snapToGrid w:val="0"/>
          <w:lang w:eastAsia="it-IT"/>
        </w:rPr>
        <w:t xml:space="preserve"> furono difetti che portarono al declino delle </w:t>
      </w:r>
      <w:proofErr w:type="spellStart"/>
      <w:r w:rsidRPr="00A63E81">
        <w:rPr>
          <w:rFonts w:ascii="Verdana" w:hAnsi="Verdana"/>
          <w:i/>
          <w:snapToGrid w:val="0"/>
          <w:lang w:eastAsia="it-IT"/>
        </w:rPr>
        <w:t>real</w:t>
      </w:r>
      <w:proofErr w:type="spellEnd"/>
      <w:r w:rsidRPr="00A63E81">
        <w:rPr>
          <w:rFonts w:ascii="Verdana" w:hAnsi="Verdana"/>
          <w:i/>
          <w:snapToGrid w:val="0"/>
          <w:lang w:eastAsia="it-IT"/>
        </w:rPr>
        <w:t xml:space="preserve"> </w:t>
      </w:r>
      <w:proofErr w:type="spellStart"/>
      <w:r w:rsidRPr="00A63E81">
        <w:rPr>
          <w:rFonts w:ascii="Verdana" w:hAnsi="Verdana"/>
          <w:i/>
          <w:snapToGrid w:val="0"/>
          <w:lang w:eastAsia="it-IT"/>
        </w:rPr>
        <w:t>actions</w:t>
      </w:r>
      <w:proofErr w:type="spellEnd"/>
      <w:r w:rsidRPr="00407000">
        <w:rPr>
          <w:rFonts w:ascii="Verdana" w:hAnsi="Verdana"/>
          <w:snapToGrid w:val="0"/>
          <w:lang w:eastAsia="it-IT"/>
        </w:rPr>
        <w:t xml:space="preserve"> e al prevalere di forme più elastiche di difesa</w:t>
      </w:r>
      <w:r w:rsidR="00255AFE" w:rsidRPr="00407000">
        <w:rPr>
          <w:rFonts w:ascii="Verdana" w:hAnsi="Verdana"/>
          <w:snapToGrid w:val="0"/>
          <w:lang w:eastAsia="it-IT"/>
        </w:rPr>
        <w:t xml:space="preserve">. </w:t>
      </w:r>
      <w:r w:rsidR="00255AFE" w:rsidRPr="00407000">
        <w:rPr>
          <w:rFonts w:ascii="Verdana" w:hAnsi="Verdana"/>
          <w:snapToGrid w:val="0"/>
          <w:lang w:val="en-US" w:eastAsia="it-IT"/>
        </w:rPr>
        <w:t xml:space="preserve">HOLDSWORTH, </w:t>
      </w:r>
      <w:r w:rsidR="00255AFE" w:rsidRPr="00407000">
        <w:rPr>
          <w:rFonts w:ascii="Verdana" w:hAnsi="Verdana"/>
          <w:i/>
          <w:snapToGrid w:val="0"/>
          <w:lang w:val="en-US" w:eastAsia="it-IT"/>
        </w:rPr>
        <w:t>History of English Law</w:t>
      </w:r>
      <w:r w:rsidR="00255AFE" w:rsidRPr="00407000">
        <w:rPr>
          <w:rFonts w:ascii="Verdana" w:hAnsi="Verdana"/>
          <w:snapToGrid w:val="0"/>
          <w:lang w:val="en-US" w:eastAsia="it-IT"/>
        </w:rPr>
        <w:t xml:space="preserve">, </w:t>
      </w:r>
      <w:r w:rsidR="00A63E81" w:rsidRPr="00A63E81">
        <w:rPr>
          <w:rFonts w:ascii="Verdana" w:hAnsi="Verdana"/>
          <w:snapToGrid w:val="0"/>
          <w:lang w:val="en-US" w:eastAsia="it-IT"/>
        </w:rPr>
        <w:t>v.</w:t>
      </w:r>
      <w:r w:rsidR="00A63E81">
        <w:rPr>
          <w:rFonts w:ascii="Verdana" w:hAnsi="Verdana"/>
          <w:snapToGrid w:val="0"/>
          <w:lang w:val="en-US" w:eastAsia="it-IT"/>
        </w:rPr>
        <w:t xml:space="preserve"> </w:t>
      </w:r>
      <w:r w:rsidR="00A63E81" w:rsidRPr="00A63E81">
        <w:rPr>
          <w:rFonts w:ascii="Verdana" w:hAnsi="Verdana"/>
          <w:snapToGrid w:val="0"/>
          <w:lang w:val="en-US" w:eastAsia="it-IT"/>
        </w:rPr>
        <w:t xml:space="preserve">VII, </w:t>
      </w:r>
      <w:proofErr w:type="spellStart"/>
      <w:r w:rsidR="00A63E81" w:rsidRPr="00A63E81">
        <w:rPr>
          <w:rFonts w:ascii="Verdana" w:hAnsi="Verdana"/>
          <w:snapToGrid w:val="0"/>
          <w:lang w:val="en-US" w:eastAsia="it-IT"/>
        </w:rPr>
        <w:t>ch.</w:t>
      </w:r>
      <w:proofErr w:type="spellEnd"/>
      <w:r w:rsidR="00A63E81" w:rsidRPr="00A63E81">
        <w:rPr>
          <w:rFonts w:ascii="Courier 12 CPI" w:hAnsi="Courier 12 CPI"/>
          <w:snapToGrid w:val="0"/>
          <w:lang w:val="en-US" w:eastAsia="it-IT"/>
        </w:rPr>
        <w:t xml:space="preserve"> </w:t>
      </w:r>
      <w:r w:rsidR="00A63E81" w:rsidRPr="00A63E81">
        <w:rPr>
          <w:rFonts w:ascii="Verdana" w:hAnsi="Verdana"/>
          <w:i/>
          <w:snapToGrid w:val="0"/>
          <w:lang w:val="en-US" w:eastAsia="it-IT"/>
        </w:rPr>
        <w:t>The Land</w:t>
      </w:r>
      <w:r w:rsidR="00A63E81" w:rsidRPr="00A63E81">
        <w:rPr>
          <w:rFonts w:ascii="Verdana" w:hAnsi="Verdana"/>
          <w:i/>
          <w:snapToGrid w:val="0"/>
          <w:lang w:val="en-US" w:eastAsia="it-IT"/>
        </w:rPr>
        <w:t xml:space="preserve"> </w:t>
      </w:r>
      <w:r w:rsidR="00A63E81" w:rsidRPr="00A63E81">
        <w:rPr>
          <w:rFonts w:ascii="Verdana" w:hAnsi="Verdana"/>
          <w:i/>
          <w:snapToGrid w:val="0"/>
          <w:lang w:val="en-US" w:eastAsia="it-IT"/>
        </w:rPr>
        <w:t>Law, Trespass and Ejectment</w:t>
      </w:r>
      <w:r w:rsidR="00A63E81">
        <w:rPr>
          <w:rFonts w:ascii="Courier 12 CPI" w:hAnsi="Courier 12 CPI"/>
          <w:snapToGrid w:val="0"/>
          <w:lang w:val="en-US" w:eastAsia="it-IT"/>
        </w:rPr>
        <w:t>,</w:t>
      </w:r>
      <w:r w:rsidR="00255AFE" w:rsidRPr="00407000">
        <w:rPr>
          <w:rFonts w:ascii="Verdana" w:hAnsi="Verdana"/>
          <w:snapToGrid w:val="0"/>
          <w:lang w:val="en-US" w:eastAsia="it-IT"/>
        </w:rPr>
        <w:t xml:space="preserve">p.9-19 e POLLOCK &amp; MAITLAND, </w:t>
      </w:r>
      <w:r w:rsidR="00255AFE" w:rsidRPr="00407000">
        <w:rPr>
          <w:rFonts w:ascii="Verdana" w:hAnsi="Verdana"/>
          <w:i/>
          <w:snapToGrid w:val="0"/>
          <w:lang w:val="en-US" w:eastAsia="it-IT"/>
        </w:rPr>
        <w:t>History of English Law</w:t>
      </w:r>
      <w:r w:rsidR="00A63E81" w:rsidRPr="00A63E81">
        <w:rPr>
          <w:rStyle w:val="Testonotaapidipagina"/>
          <w:lang w:val="en-US"/>
        </w:rPr>
        <w:t xml:space="preserve"> </w:t>
      </w:r>
      <w:r w:rsidR="00A63E81" w:rsidRPr="00A63E81">
        <w:rPr>
          <w:rStyle w:val="st"/>
          <w:rFonts w:ascii="Verdana" w:hAnsi="Verdana"/>
          <w:i/>
          <w:sz w:val="24"/>
          <w:szCs w:val="24"/>
          <w:lang w:val="en-US"/>
        </w:rPr>
        <w:t>before the time of Edward I</w:t>
      </w:r>
      <w:r w:rsidR="00A63E81" w:rsidRPr="00A63E81">
        <w:rPr>
          <w:rStyle w:val="st"/>
          <w:lang w:val="en-US"/>
        </w:rPr>
        <w:t>,</w:t>
      </w:r>
      <w:r w:rsidR="00A63E81" w:rsidRPr="00A63E81">
        <w:rPr>
          <w:rStyle w:val="st"/>
          <w:lang w:val="en-US"/>
        </w:rPr>
        <w:t xml:space="preserve"> </w:t>
      </w:r>
      <w:r w:rsidR="00A63E81" w:rsidRPr="00A63E81">
        <w:rPr>
          <w:rStyle w:val="st"/>
          <w:rFonts w:ascii="Verdana" w:hAnsi="Verdana"/>
          <w:lang w:val="en-US"/>
        </w:rPr>
        <w:t>Cambridge, 1898</w:t>
      </w:r>
      <w:r w:rsidR="00255AFE" w:rsidRPr="00A63E81">
        <w:rPr>
          <w:rFonts w:ascii="Verdana" w:hAnsi="Verdana"/>
          <w:snapToGrid w:val="0"/>
          <w:lang w:val="en-US" w:eastAsia="it-IT"/>
        </w:rPr>
        <w:t>,</w:t>
      </w:r>
      <w:r w:rsidR="00255AFE" w:rsidRPr="00407000">
        <w:rPr>
          <w:rFonts w:ascii="Verdana" w:hAnsi="Verdana"/>
          <w:snapToGrid w:val="0"/>
          <w:lang w:val="en-US" w:eastAsia="it-IT"/>
        </w:rPr>
        <w:t xml:space="preserve"> v. II, p.62 ss.</w:t>
      </w:r>
    </w:p>
  </w:footnote>
  <w:footnote w:id="4">
    <w:p w:rsidR="00255AFE" w:rsidRPr="00A51DF1" w:rsidRDefault="00255AFE" w:rsidP="009E203B">
      <w:pPr>
        <w:rPr>
          <w:rStyle w:val="Rimandonotaapidipagina"/>
          <w:rFonts w:ascii="Verdana" w:hAnsi="Verdana"/>
          <w:snapToGrid w:val="0"/>
          <w:vertAlign w:val="baseline"/>
          <w:lang w:val="en-US" w:eastAsia="it-IT"/>
        </w:rPr>
      </w:pPr>
      <w:r w:rsidRPr="00407000">
        <w:rPr>
          <w:rStyle w:val="Rimandonotaapidipagina"/>
          <w:rFonts w:ascii="Verdana" w:hAnsi="Verdana"/>
        </w:rPr>
        <w:footnoteRef/>
      </w:r>
      <w:r w:rsidRPr="00407000">
        <w:rPr>
          <w:rFonts w:ascii="Verdana" w:hAnsi="Verdana"/>
        </w:rPr>
        <w:t xml:space="preserve"> </w:t>
      </w:r>
      <w:r w:rsidRPr="00407000">
        <w:rPr>
          <w:rFonts w:ascii="Verdana" w:hAnsi="Verdana"/>
          <w:snapToGrid w:val="0"/>
          <w:lang w:eastAsia="it-IT"/>
        </w:rPr>
        <w:t xml:space="preserve">Oppure con altri nomi di fantasia o scaramantici (come </w:t>
      </w:r>
      <w:proofErr w:type="spellStart"/>
      <w:r w:rsidRPr="00407000">
        <w:rPr>
          <w:rFonts w:ascii="Verdana" w:hAnsi="Verdana"/>
          <w:snapToGrid w:val="0"/>
          <w:lang w:eastAsia="it-IT"/>
        </w:rPr>
        <w:t>Fairclaim</w:t>
      </w:r>
      <w:proofErr w:type="spellEnd"/>
      <w:r w:rsidRPr="00407000">
        <w:rPr>
          <w:rFonts w:ascii="Verdana" w:hAnsi="Verdana"/>
          <w:snapToGrid w:val="0"/>
          <w:lang w:eastAsia="it-IT"/>
        </w:rPr>
        <w:t xml:space="preserve">, </w:t>
      </w:r>
      <w:proofErr w:type="spellStart"/>
      <w:r w:rsidRPr="00407000">
        <w:rPr>
          <w:rFonts w:ascii="Verdana" w:hAnsi="Verdana"/>
          <w:snapToGrid w:val="0"/>
          <w:lang w:eastAsia="it-IT"/>
        </w:rPr>
        <w:t>Goodtitle</w:t>
      </w:r>
      <w:proofErr w:type="spellEnd"/>
      <w:r w:rsidRPr="00407000">
        <w:rPr>
          <w:rFonts w:ascii="Verdana" w:hAnsi="Verdana"/>
          <w:snapToGrid w:val="0"/>
          <w:lang w:eastAsia="it-IT"/>
        </w:rPr>
        <w:t xml:space="preserve"> ...).</w:t>
      </w:r>
      <w:r w:rsidR="00A63E81">
        <w:rPr>
          <w:rFonts w:ascii="Verdana" w:hAnsi="Verdana"/>
          <w:snapToGrid w:val="0"/>
          <w:lang w:eastAsia="it-IT"/>
        </w:rPr>
        <w:t xml:space="preserve"> </w:t>
      </w:r>
      <w:proofErr w:type="spellStart"/>
      <w:r w:rsidR="009E203B" w:rsidRPr="000142D2">
        <w:rPr>
          <w:rFonts w:ascii="Verdana" w:hAnsi="Verdana"/>
          <w:snapToGrid w:val="0"/>
          <w:lang w:val="en-US" w:eastAsia="it-IT"/>
        </w:rPr>
        <w:t>Cfr</w:t>
      </w:r>
      <w:proofErr w:type="spellEnd"/>
      <w:r w:rsidR="009E203B" w:rsidRPr="000142D2">
        <w:rPr>
          <w:rFonts w:ascii="Verdana" w:hAnsi="Verdana"/>
          <w:snapToGrid w:val="0"/>
          <w:lang w:val="en-US" w:eastAsia="it-IT"/>
        </w:rPr>
        <w:t xml:space="preserve">. </w:t>
      </w:r>
      <w:r w:rsidR="009E203B" w:rsidRPr="000142D2">
        <w:rPr>
          <w:rFonts w:ascii="Verdana" w:hAnsi="Verdana"/>
          <w:i/>
          <w:snapToGrid w:val="0"/>
          <w:lang w:val="en-US" w:eastAsia="it-IT"/>
        </w:rPr>
        <w:t xml:space="preserve">Doe d. Hughes v. </w:t>
      </w:r>
      <w:proofErr w:type="spellStart"/>
      <w:r w:rsidR="009E203B" w:rsidRPr="000142D2">
        <w:rPr>
          <w:rFonts w:ascii="Verdana" w:hAnsi="Verdana"/>
          <w:i/>
          <w:snapToGrid w:val="0"/>
          <w:lang w:val="en-US" w:eastAsia="it-IT"/>
        </w:rPr>
        <w:t>Dyeball</w:t>
      </w:r>
      <w:proofErr w:type="spellEnd"/>
      <w:r w:rsidR="004C26A6" w:rsidRPr="000142D2">
        <w:rPr>
          <w:rFonts w:ascii="Verdana" w:hAnsi="Verdana"/>
          <w:snapToGrid w:val="0"/>
          <w:lang w:val="en-US" w:eastAsia="it-IT"/>
        </w:rPr>
        <w:t>, Moo.&amp; M. 346,</w:t>
      </w:r>
      <w:r w:rsidR="009E203B" w:rsidRPr="000142D2">
        <w:rPr>
          <w:rFonts w:ascii="Verdana" w:hAnsi="Verdana"/>
          <w:snapToGrid w:val="0"/>
          <w:lang w:val="en-US" w:eastAsia="it-IT"/>
        </w:rPr>
        <w:t xml:space="preserve"> E.R. 172, 597 (a.D.1829);</w:t>
      </w:r>
      <w:r w:rsidR="004C26A6" w:rsidRPr="000142D2">
        <w:rPr>
          <w:rFonts w:ascii="Verdana" w:hAnsi="Verdana"/>
          <w:snapToGrid w:val="0"/>
          <w:lang w:val="en-US" w:eastAsia="it-IT"/>
        </w:rPr>
        <w:t xml:space="preserve"> </w:t>
      </w:r>
      <w:r w:rsidR="009E203B" w:rsidRPr="000142D2">
        <w:rPr>
          <w:rFonts w:ascii="Verdana" w:hAnsi="Verdana"/>
          <w:i/>
          <w:snapToGrid w:val="0"/>
          <w:lang w:val="en-US" w:eastAsia="it-IT"/>
        </w:rPr>
        <w:t xml:space="preserve">Doe d. Hall v. </w:t>
      </w:r>
      <w:proofErr w:type="spellStart"/>
      <w:r w:rsidR="009E203B" w:rsidRPr="000142D2">
        <w:rPr>
          <w:rFonts w:ascii="Verdana" w:hAnsi="Verdana"/>
          <w:i/>
          <w:snapToGrid w:val="0"/>
          <w:lang w:val="en-US" w:eastAsia="it-IT"/>
        </w:rPr>
        <w:t>Penfold</w:t>
      </w:r>
      <w:proofErr w:type="spellEnd"/>
      <w:r w:rsidR="009E203B" w:rsidRPr="000142D2">
        <w:rPr>
          <w:rFonts w:ascii="Verdana" w:hAnsi="Verdana"/>
          <w:snapToGrid w:val="0"/>
          <w:lang w:val="en-US" w:eastAsia="it-IT"/>
        </w:rPr>
        <w:t>, 8 Car.&amp; P., 536</w:t>
      </w:r>
      <w:r w:rsidR="009E203B" w:rsidRPr="000142D2">
        <w:rPr>
          <w:rFonts w:ascii="Verdana" w:hAnsi="Verdana"/>
          <w:snapToGrid w:val="0"/>
          <w:lang w:val="en-US" w:eastAsia="it-IT"/>
        </w:rPr>
        <w:t xml:space="preserve">; </w:t>
      </w:r>
      <w:r w:rsidR="009E203B" w:rsidRPr="000142D2">
        <w:rPr>
          <w:rFonts w:ascii="Verdana" w:hAnsi="Verdana"/>
          <w:i/>
          <w:snapToGrid w:val="0"/>
          <w:lang w:val="en-US" w:eastAsia="it-IT"/>
        </w:rPr>
        <w:t>Doe d. Humphrey</w:t>
      </w:r>
      <w:r w:rsidR="009E203B" w:rsidRPr="000142D2">
        <w:rPr>
          <w:rFonts w:ascii="Verdana" w:hAnsi="Verdana"/>
          <w:i/>
          <w:snapToGrid w:val="0"/>
          <w:lang w:val="en-US" w:eastAsia="it-IT"/>
        </w:rPr>
        <w:t xml:space="preserve"> </w:t>
      </w:r>
      <w:proofErr w:type="spellStart"/>
      <w:r w:rsidR="009E203B" w:rsidRPr="000142D2">
        <w:rPr>
          <w:rFonts w:ascii="Verdana" w:hAnsi="Verdana"/>
          <w:i/>
          <w:snapToGrid w:val="0"/>
          <w:lang w:val="en-US" w:eastAsia="it-IT"/>
        </w:rPr>
        <w:t>v.Martin</w:t>
      </w:r>
      <w:proofErr w:type="spellEnd"/>
      <w:r w:rsidR="004C26A6" w:rsidRPr="000142D2">
        <w:rPr>
          <w:rFonts w:ascii="Verdana" w:hAnsi="Verdana"/>
          <w:i/>
          <w:snapToGrid w:val="0"/>
          <w:lang w:val="en-US" w:eastAsia="it-IT"/>
        </w:rPr>
        <w:t>,</w:t>
      </w:r>
      <w:r w:rsidR="009E203B" w:rsidRPr="000142D2">
        <w:rPr>
          <w:rFonts w:ascii="Verdana" w:hAnsi="Verdana"/>
          <w:snapToGrid w:val="0"/>
          <w:lang w:val="en-US" w:eastAsia="it-IT"/>
        </w:rPr>
        <w:t xml:space="preserve">  E.R. 174, 395 (</w:t>
      </w:r>
      <w:proofErr w:type="spellStart"/>
      <w:r w:rsidR="009E203B" w:rsidRPr="000142D2">
        <w:rPr>
          <w:rFonts w:ascii="Verdana" w:hAnsi="Verdana"/>
          <w:snapToGrid w:val="0"/>
          <w:lang w:val="en-US" w:eastAsia="it-IT"/>
        </w:rPr>
        <w:t>a.D.</w:t>
      </w:r>
      <w:proofErr w:type="spellEnd"/>
      <w:r w:rsidR="009E203B" w:rsidRPr="000142D2">
        <w:rPr>
          <w:rFonts w:ascii="Verdana" w:hAnsi="Verdana"/>
          <w:snapToGrid w:val="0"/>
          <w:lang w:val="en-US" w:eastAsia="it-IT"/>
        </w:rPr>
        <w:t xml:space="preserve"> 1841)</w:t>
      </w:r>
      <w:r w:rsidR="004C26A6" w:rsidRPr="000142D2">
        <w:rPr>
          <w:rFonts w:ascii="Verdana" w:hAnsi="Verdana"/>
          <w:snapToGrid w:val="0"/>
          <w:lang w:val="en-US" w:eastAsia="it-IT"/>
        </w:rPr>
        <w:t xml:space="preserve">; </w:t>
      </w:r>
      <w:r w:rsidR="004C26A6" w:rsidRPr="000142D2">
        <w:rPr>
          <w:rFonts w:ascii="Verdana" w:hAnsi="Verdana"/>
          <w:i/>
          <w:snapToGrid w:val="0"/>
          <w:lang w:val="en-US" w:eastAsia="it-IT"/>
        </w:rPr>
        <w:t>Doe</w:t>
      </w:r>
      <w:r w:rsidR="004C26A6" w:rsidRPr="000142D2">
        <w:rPr>
          <w:rFonts w:ascii="Verdana" w:hAnsi="Verdana"/>
          <w:i/>
          <w:snapToGrid w:val="0"/>
          <w:lang w:val="en-US" w:eastAsia="it-IT"/>
        </w:rPr>
        <w:t xml:space="preserve"> </w:t>
      </w:r>
      <w:r w:rsidR="009E203B" w:rsidRPr="000142D2">
        <w:rPr>
          <w:rFonts w:ascii="Verdana" w:hAnsi="Verdana"/>
          <w:i/>
          <w:snapToGrid w:val="0"/>
          <w:lang w:val="en-US" w:eastAsia="it-IT"/>
        </w:rPr>
        <w:t>d. Wilkins v. Marquis of Cleveland</w:t>
      </w:r>
      <w:r w:rsidR="009E203B" w:rsidRPr="000142D2">
        <w:rPr>
          <w:rFonts w:ascii="Verdana" w:hAnsi="Verdana"/>
          <w:snapToGrid w:val="0"/>
          <w:lang w:val="en-US" w:eastAsia="it-IT"/>
        </w:rPr>
        <w:t xml:space="preserve">  (1829) 9 B and C 684</w:t>
      </w:r>
      <w:r w:rsidR="009E203B" w:rsidRPr="000142D2">
        <w:rPr>
          <w:rFonts w:ascii="Verdana" w:hAnsi="Verdana"/>
          <w:snapToGrid w:val="0"/>
          <w:lang w:val="en-US" w:eastAsia="it-IT"/>
        </w:rPr>
        <w:t xml:space="preserve">; </w:t>
      </w:r>
      <w:r w:rsidR="009E203B" w:rsidRPr="000142D2">
        <w:rPr>
          <w:rFonts w:ascii="Verdana" w:hAnsi="Verdana"/>
          <w:i/>
          <w:snapToGrid w:val="0"/>
          <w:lang w:val="en-US" w:eastAsia="it-IT"/>
        </w:rPr>
        <w:t>Doe d. Lewis v. Davies</w:t>
      </w:r>
      <w:r w:rsidR="009E203B" w:rsidRPr="000142D2">
        <w:rPr>
          <w:rFonts w:ascii="Verdana" w:hAnsi="Verdana"/>
          <w:snapToGrid w:val="0"/>
          <w:lang w:val="en-US" w:eastAsia="it-IT"/>
        </w:rPr>
        <w:t xml:space="preserve">  (1837) 2</w:t>
      </w:r>
      <w:r w:rsidR="004C26A6" w:rsidRPr="000142D2">
        <w:rPr>
          <w:rFonts w:ascii="Verdana" w:hAnsi="Verdana"/>
          <w:snapToGrid w:val="0"/>
          <w:lang w:val="en-US" w:eastAsia="it-IT"/>
        </w:rPr>
        <w:t xml:space="preserve"> </w:t>
      </w:r>
      <w:r w:rsidR="009E203B" w:rsidRPr="000142D2">
        <w:rPr>
          <w:rFonts w:ascii="Verdana" w:hAnsi="Verdana"/>
          <w:snapToGrid w:val="0"/>
          <w:lang w:val="en-US" w:eastAsia="it-IT"/>
        </w:rPr>
        <w:t>M.&amp;W.516</w:t>
      </w:r>
      <w:r w:rsidR="000142D2" w:rsidRPr="000142D2">
        <w:rPr>
          <w:rFonts w:ascii="Verdana" w:hAnsi="Verdana"/>
          <w:snapToGrid w:val="0"/>
          <w:lang w:val="en-US" w:eastAsia="it-IT"/>
        </w:rPr>
        <w:t xml:space="preserve">; </w:t>
      </w:r>
      <w:r w:rsidR="000142D2" w:rsidRPr="000142D2">
        <w:rPr>
          <w:rFonts w:ascii="Verdana" w:hAnsi="Verdana"/>
          <w:i/>
          <w:snapToGrid w:val="0"/>
          <w:lang w:val="en-US" w:eastAsia="it-IT"/>
        </w:rPr>
        <w:t>Doe d. Carter v. Barnard</w:t>
      </w:r>
      <w:r w:rsidR="000142D2" w:rsidRPr="000142D2">
        <w:rPr>
          <w:rFonts w:ascii="Verdana" w:hAnsi="Verdana"/>
          <w:snapToGrid w:val="0"/>
          <w:lang w:val="en-US" w:eastAsia="it-IT"/>
        </w:rPr>
        <w:t xml:space="preserve"> </w:t>
      </w:r>
      <w:r w:rsidR="000142D2" w:rsidRPr="000142D2">
        <w:rPr>
          <w:rFonts w:ascii="Verdana" w:hAnsi="Verdana"/>
          <w:snapToGrid w:val="0"/>
          <w:lang w:val="en-US" w:eastAsia="it-IT"/>
        </w:rPr>
        <w:t>(1849) 13 Q.B.D., 945</w:t>
      </w:r>
      <w:r w:rsidR="000142D2" w:rsidRPr="000142D2">
        <w:rPr>
          <w:rFonts w:ascii="Verdana" w:hAnsi="Verdana"/>
          <w:snapToGrid w:val="0"/>
          <w:lang w:val="en-US" w:eastAsia="it-IT"/>
        </w:rPr>
        <w:t xml:space="preserve">. </w:t>
      </w:r>
      <w:proofErr w:type="spellStart"/>
      <w:r w:rsidR="000142D2" w:rsidRPr="000142D2">
        <w:rPr>
          <w:rFonts w:ascii="Verdana" w:hAnsi="Verdana"/>
          <w:snapToGrid w:val="0"/>
          <w:lang w:val="en-US" w:eastAsia="it-IT"/>
        </w:rPr>
        <w:t>Com'è</w:t>
      </w:r>
      <w:proofErr w:type="spellEnd"/>
      <w:r w:rsidR="000142D2">
        <w:rPr>
          <w:rFonts w:ascii="Verdana" w:hAnsi="Verdana"/>
          <w:snapToGrid w:val="0"/>
          <w:lang w:val="en-US" w:eastAsia="it-IT"/>
        </w:rPr>
        <w:t xml:space="preserve"> </w:t>
      </w:r>
      <w:proofErr w:type="spellStart"/>
      <w:r w:rsidR="000142D2">
        <w:rPr>
          <w:rFonts w:ascii="Verdana" w:hAnsi="Verdana"/>
          <w:snapToGrid w:val="0"/>
          <w:lang w:val="en-US" w:eastAsia="it-IT"/>
        </w:rPr>
        <w:t>noto</w:t>
      </w:r>
      <w:proofErr w:type="spellEnd"/>
      <w:r w:rsidR="000142D2">
        <w:rPr>
          <w:rFonts w:ascii="Verdana" w:hAnsi="Verdana"/>
          <w:snapToGrid w:val="0"/>
          <w:lang w:val="en-US" w:eastAsia="it-IT"/>
        </w:rPr>
        <w:t xml:space="preserve"> la "d." </w:t>
      </w:r>
      <w:proofErr w:type="spellStart"/>
      <w:r w:rsidR="000142D2">
        <w:rPr>
          <w:rFonts w:ascii="Verdana" w:hAnsi="Verdana"/>
          <w:snapToGrid w:val="0"/>
          <w:lang w:val="en-US" w:eastAsia="it-IT"/>
        </w:rPr>
        <w:t>sta</w:t>
      </w:r>
      <w:proofErr w:type="spellEnd"/>
      <w:r w:rsidR="000142D2">
        <w:rPr>
          <w:rFonts w:ascii="Verdana" w:hAnsi="Verdana"/>
          <w:snapToGrid w:val="0"/>
          <w:lang w:val="en-US" w:eastAsia="it-IT"/>
        </w:rPr>
        <w:t xml:space="preserve"> per "demise"</w:t>
      </w:r>
      <w:r w:rsidR="000142D2" w:rsidRPr="000142D2">
        <w:rPr>
          <w:rFonts w:ascii="Verdana" w:hAnsi="Verdana"/>
          <w:snapToGrid w:val="0"/>
          <w:lang w:val="en-US" w:eastAsia="it-IT"/>
        </w:rPr>
        <w:t>:</w:t>
      </w:r>
      <w:r w:rsidR="000142D2">
        <w:rPr>
          <w:rFonts w:ascii="Verdana" w:hAnsi="Verdana"/>
          <w:snapToGrid w:val="0"/>
          <w:lang w:val="en-US" w:eastAsia="it-IT"/>
        </w:rPr>
        <w:t xml:space="preserve"> </w:t>
      </w:r>
      <w:r w:rsidR="000142D2" w:rsidRPr="000142D2">
        <w:rPr>
          <w:rFonts w:ascii="Verdana" w:hAnsi="Verdana"/>
          <w:snapToGrid w:val="0"/>
          <w:lang w:val="en-US" w:eastAsia="it-IT"/>
        </w:rPr>
        <w:t xml:space="preserve">la formula </w:t>
      </w:r>
      <w:r w:rsidR="000142D2" w:rsidRPr="000142D2">
        <w:rPr>
          <w:rFonts w:ascii="Verdana" w:hAnsi="Verdana"/>
          <w:snapToGrid w:val="0"/>
          <w:lang w:val="en-US" w:eastAsia="it-IT"/>
        </w:rPr>
        <w:t xml:space="preserve"> </w:t>
      </w:r>
      <w:proofErr w:type="spellStart"/>
      <w:r w:rsidR="000142D2" w:rsidRPr="000142D2">
        <w:rPr>
          <w:rFonts w:ascii="Verdana" w:hAnsi="Verdana"/>
          <w:snapToGrid w:val="0"/>
          <w:lang w:val="en-US" w:eastAsia="it-IT"/>
        </w:rPr>
        <w:t>completa</w:t>
      </w:r>
      <w:proofErr w:type="spellEnd"/>
      <w:r w:rsidR="000142D2" w:rsidRPr="000142D2">
        <w:rPr>
          <w:rFonts w:ascii="Verdana" w:hAnsi="Verdana"/>
          <w:snapToGrid w:val="0"/>
          <w:lang w:val="en-US" w:eastAsia="it-IT"/>
        </w:rPr>
        <w:t xml:space="preserve"> </w:t>
      </w:r>
      <w:proofErr w:type="spellStart"/>
      <w:r w:rsidR="000142D2" w:rsidRPr="000142D2">
        <w:rPr>
          <w:rFonts w:ascii="Verdana" w:hAnsi="Verdana"/>
          <w:snapToGrid w:val="0"/>
          <w:lang w:val="en-US" w:eastAsia="it-IT"/>
        </w:rPr>
        <w:t>sarebbe</w:t>
      </w:r>
      <w:proofErr w:type="spellEnd"/>
      <w:r w:rsidR="000142D2" w:rsidRPr="000142D2">
        <w:rPr>
          <w:rFonts w:ascii="Verdana" w:hAnsi="Verdana"/>
          <w:snapToGrid w:val="0"/>
          <w:lang w:val="en-US" w:eastAsia="it-IT"/>
        </w:rPr>
        <w:t xml:space="preserve">:"John Doe on the demise (=lease) of Carter v. </w:t>
      </w:r>
      <w:bookmarkStart w:id="0" w:name="_GoBack"/>
      <w:bookmarkEnd w:id="0"/>
      <w:r w:rsidR="000142D2" w:rsidRPr="000142D2">
        <w:rPr>
          <w:rFonts w:ascii="Verdana" w:hAnsi="Verdana"/>
          <w:snapToGrid w:val="0"/>
          <w:lang w:val="en-US" w:eastAsia="it-IT"/>
        </w:rPr>
        <w:t>Barnard": WINFIELD, On Tort,</w:t>
      </w:r>
      <w:r w:rsidR="00A51DF1">
        <w:rPr>
          <w:rFonts w:ascii="Verdana" w:hAnsi="Verdana"/>
          <w:snapToGrid w:val="0"/>
          <w:lang w:val="en-US" w:eastAsia="it-IT"/>
        </w:rPr>
        <w:t xml:space="preserve"> 7.ed., </w:t>
      </w:r>
      <w:proofErr w:type="spellStart"/>
      <w:r w:rsidR="00A51DF1">
        <w:rPr>
          <w:rFonts w:ascii="Verdana" w:hAnsi="Verdana"/>
          <w:snapToGrid w:val="0"/>
          <w:lang w:val="en-US" w:eastAsia="it-IT"/>
        </w:rPr>
        <w:t>Londra</w:t>
      </w:r>
      <w:proofErr w:type="spellEnd"/>
      <w:r w:rsidR="00A51DF1">
        <w:rPr>
          <w:rFonts w:ascii="Verdana" w:hAnsi="Verdana"/>
          <w:snapToGrid w:val="0"/>
          <w:lang w:val="en-US" w:eastAsia="it-IT"/>
        </w:rPr>
        <w:t>, 1963, p.385-386.</w:t>
      </w:r>
    </w:p>
  </w:footnote>
  <w:footnote w:id="5">
    <w:p w:rsidR="00407000" w:rsidRPr="00890E03" w:rsidRDefault="00255AFE" w:rsidP="00407000">
      <w:pPr>
        <w:rPr>
          <w:rFonts w:ascii="Verdana" w:hAnsi="Verdana"/>
          <w:snapToGrid w:val="0"/>
          <w:lang w:val="en-US" w:eastAsia="it-IT"/>
        </w:rPr>
      </w:pPr>
      <w:r w:rsidRPr="00407000">
        <w:rPr>
          <w:rStyle w:val="Rimandonotaapidipagina"/>
          <w:rFonts w:ascii="Verdana" w:hAnsi="Verdana"/>
        </w:rPr>
        <w:footnoteRef/>
      </w:r>
      <w:r w:rsidRPr="00890E03">
        <w:rPr>
          <w:rFonts w:ascii="Verdana" w:hAnsi="Verdana"/>
          <w:lang w:val="en-US"/>
        </w:rPr>
        <w:t xml:space="preserve"> </w:t>
      </w:r>
      <w:proofErr w:type="spellStart"/>
      <w:r w:rsidRPr="00890E03">
        <w:rPr>
          <w:rFonts w:ascii="Verdana" w:hAnsi="Verdana"/>
          <w:snapToGrid w:val="0"/>
          <w:lang w:val="en-US" w:eastAsia="it-IT"/>
        </w:rPr>
        <w:t>Cfr</w:t>
      </w:r>
      <w:proofErr w:type="spellEnd"/>
      <w:r w:rsidRPr="00890E03">
        <w:rPr>
          <w:rFonts w:ascii="Verdana" w:hAnsi="Verdana"/>
          <w:snapToGrid w:val="0"/>
          <w:lang w:val="en-US" w:eastAsia="it-IT"/>
        </w:rPr>
        <w:t xml:space="preserve">.  </w:t>
      </w:r>
      <w:r w:rsidR="00407000" w:rsidRPr="00890E03">
        <w:rPr>
          <w:rFonts w:ascii="Verdana" w:hAnsi="Verdana"/>
          <w:snapToGrid w:val="0"/>
          <w:lang w:val="en-US" w:eastAsia="it-IT"/>
        </w:rPr>
        <w:t xml:space="preserve">MAITLAND, </w:t>
      </w:r>
      <w:r w:rsidR="00407000" w:rsidRPr="00890E03">
        <w:rPr>
          <w:rFonts w:ascii="Verdana" w:hAnsi="Verdana"/>
          <w:i/>
          <w:snapToGrid w:val="0"/>
          <w:lang w:val="en-US" w:eastAsia="it-IT"/>
        </w:rPr>
        <w:t>Equity and the Forms of Action</w:t>
      </w:r>
      <w:r w:rsidR="00407000" w:rsidRPr="00890E03">
        <w:rPr>
          <w:rFonts w:ascii="Verdana" w:hAnsi="Verdana"/>
          <w:snapToGrid w:val="0"/>
          <w:lang w:val="en-US" w:eastAsia="it-IT"/>
        </w:rPr>
        <w:t xml:space="preserve">, cit., Cambridge, 1909, p.352; RUFFINI GANDOLFI, </w:t>
      </w:r>
      <w:proofErr w:type="spellStart"/>
      <w:r w:rsidR="00407000" w:rsidRPr="00890E03">
        <w:rPr>
          <w:rFonts w:ascii="Verdana" w:hAnsi="Verdana"/>
          <w:i/>
          <w:snapToGrid w:val="0"/>
          <w:lang w:val="en-US" w:eastAsia="it-IT"/>
        </w:rPr>
        <w:t>Profili</w:t>
      </w:r>
      <w:proofErr w:type="spellEnd"/>
      <w:r w:rsidR="00407000" w:rsidRPr="00890E03">
        <w:rPr>
          <w:rFonts w:ascii="Verdana" w:hAnsi="Verdana"/>
          <w:i/>
          <w:snapToGrid w:val="0"/>
          <w:lang w:val="en-US" w:eastAsia="it-IT"/>
        </w:rPr>
        <w:t xml:space="preserve"> del trespass to land</w:t>
      </w:r>
      <w:r w:rsidR="00407000" w:rsidRPr="00890E03">
        <w:rPr>
          <w:rFonts w:ascii="Verdana" w:hAnsi="Verdana"/>
          <w:snapToGrid w:val="0"/>
          <w:lang w:val="en-US" w:eastAsia="it-IT"/>
        </w:rPr>
        <w:t>, Milano, 1979, p.36-42.</w:t>
      </w:r>
    </w:p>
    <w:p w:rsidR="00255AFE" w:rsidRPr="00890E03" w:rsidRDefault="00255AFE" w:rsidP="00255AFE">
      <w:pPr>
        <w:rPr>
          <w:rFonts w:ascii="Verdana" w:hAnsi="Verdana"/>
          <w:snapToGrid w:val="0"/>
          <w:lang w:val="en-US" w:eastAsia="it-IT"/>
        </w:rPr>
      </w:pPr>
    </w:p>
    <w:p w:rsidR="00255AFE" w:rsidRPr="00890E03" w:rsidRDefault="00255AFE">
      <w:pPr>
        <w:pStyle w:val="Testonotaapidipagina"/>
        <w:rPr>
          <w:rFonts w:ascii="Verdana" w:hAnsi="Verdana"/>
          <w:lang w:val="en-US"/>
        </w:rPr>
      </w:pPr>
    </w:p>
  </w:footnote>
  <w:footnote w:id="6">
    <w:p w:rsidR="00407000" w:rsidRPr="00407000" w:rsidRDefault="00407000" w:rsidP="00B55AF0">
      <w:pPr>
        <w:spacing w:after="0"/>
        <w:rPr>
          <w:rFonts w:ascii="Verdana" w:hAnsi="Verdana"/>
        </w:rPr>
      </w:pPr>
      <w:r w:rsidRPr="00407000">
        <w:rPr>
          <w:rStyle w:val="Rimandonotaapidipagina"/>
          <w:rFonts w:ascii="Verdana" w:hAnsi="Verdana"/>
        </w:rPr>
        <w:footnoteRef/>
      </w:r>
      <w:r w:rsidRPr="00407000">
        <w:rPr>
          <w:rFonts w:ascii="Verdana" w:hAnsi="Verdana"/>
        </w:rPr>
        <w:t xml:space="preserve"> </w:t>
      </w:r>
      <w:r w:rsidRPr="00407000">
        <w:rPr>
          <w:rFonts w:ascii="Verdana" w:hAnsi="Verdana"/>
          <w:snapToGrid w:val="0"/>
          <w:lang w:eastAsia="it-IT"/>
        </w:rPr>
        <w:t>Alla prima intestazione dell'azione (</w:t>
      </w:r>
      <w:r w:rsidR="00890E03">
        <w:rPr>
          <w:rFonts w:ascii="Verdana" w:hAnsi="Verdana"/>
          <w:snapToGrid w:val="0"/>
          <w:lang w:eastAsia="it-IT"/>
        </w:rPr>
        <w:t xml:space="preserve"> ad es.: </w:t>
      </w:r>
      <w:proofErr w:type="spellStart"/>
      <w:r w:rsidRPr="00890E03">
        <w:rPr>
          <w:rFonts w:ascii="Verdana" w:hAnsi="Verdana"/>
          <w:i/>
          <w:snapToGrid w:val="0"/>
          <w:lang w:eastAsia="it-IT"/>
        </w:rPr>
        <w:t>Doe</w:t>
      </w:r>
      <w:proofErr w:type="spellEnd"/>
      <w:r w:rsidRPr="00890E03">
        <w:rPr>
          <w:rFonts w:ascii="Verdana" w:hAnsi="Verdana"/>
          <w:i/>
          <w:snapToGrid w:val="0"/>
          <w:lang w:eastAsia="it-IT"/>
        </w:rPr>
        <w:t xml:space="preserve"> on the </w:t>
      </w:r>
      <w:proofErr w:type="spellStart"/>
      <w:r w:rsidRPr="00890E03">
        <w:rPr>
          <w:rFonts w:ascii="Verdana" w:hAnsi="Verdana"/>
          <w:i/>
          <w:snapToGrid w:val="0"/>
          <w:lang w:eastAsia="it-IT"/>
        </w:rPr>
        <w:t>demise</w:t>
      </w:r>
      <w:proofErr w:type="spellEnd"/>
      <w:r w:rsidRPr="00890E03">
        <w:rPr>
          <w:rFonts w:ascii="Verdana" w:hAnsi="Verdana"/>
          <w:i/>
          <w:snapToGrid w:val="0"/>
          <w:lang w:eastAsia="it-IT"/>
        </w:rPr>
        <w:t xml:space="preserve"> of </w:t>
      </w:r>
      <w:proofErr w:type="spellStart"/>
      <w:r w:rsidRPr="00890E03">
        <w:rPr>
          <w:rFonts w:ascii="Verdana" w:hAnsi="Verdana"/>
          <w:i/>
          <w:snapToGrid w:val="0"/>
          <w:lang w:eastAsia="it-IT"/>
        </w:rPr>
        <w:t>Atkins</w:t>
      </w:r>
      <w:proofErr w:type="spellEnd"/>
      <w:r w:rsidRPr="00890E03">
        <w:rPr>
          <w:rFonts w:ascii="Verdana" w:hAnsi="Verdana"/>
          <w:i/>
          <w:snapToGrid w:val="0"/>
          <w:lang w:eastAsia="it-IT"/>
        </w:rPr>
        <w:t xml:space="preserve"> v. </w:t>
      </w:r>
      <w:proofErr w:type="spellStart"/>
      <w:r w:rsidRPr="00890E03">
        <w:rPr>
          <w:rFonts w:ascii="Verdana" w:hAnsi="Verdana"/>
          <w:i/>
          <w:snapToGrid w:val="0"/>
          <w:lang w:eastAsia="it-IT"/>
        </w:rPr>
        <w:t>Horde</w:t>
      </w:r>
      <w:proofErr w:type="spellEnd"/>
      <w:r w:rsidR="00890E03">
        <w:rPr>
          <w:rFonts w:ascii="Verdana" w:hAnsi="Verdana"/>
          <w:snapToGrid w:val="0"/>
          <w:lang w:eastAsia="it-IT"/>
        </w:rPr>
        <w:t xml:space="preserve">) nella quale </w:t>
      </w:r>
      <w:proofErr w:type="spellStart"/>
      <w:r w:rsidR="00890E03">
        <w:rPr>
          <w:rFonts w:ascii="Verdana" w:hAnsi="Verdana"/>
          <w:snapToGrid w:val="0"/>
          <w:lang w:eastAsia="it-IT"/>
        </w:rPr>
        <w:t>Doe</w:t>
      </w:r>
      <w:proofErr w:type="spellEnd"/>
      <w:r w:rsidR="00890E03">
        <w:rPr>
          <w:rFonts w:ascii="Verdana" w:hAnsi="Verdana"/>
          <w:snapToGrid w:val="0"/>
          <w:lang w:eastAsia="it-IT"/>
        </w:rPr>
        <w:t xml:space="preserve"> è</w:t>
      </w:r>
      <w:r w:rsidRPr="00407000">
        <w:rPr>
          <w:rFonts w:ascii="Verdana" w:hAnsi="Verdana"/>
          <w:snapToGrid w:val="0"/>
          <w:lang w:eastAsia="it-IT"/>
        </w:rPr>
        <w:t xml:space="preserve"> il </w:t>
      </w:r>
      <w:proofErr w:type="spellStart"/>
      <w:r w:rsidRPr="00407000">
        <w:rPr>
          <w:rFonts w:ascii="Verdana" w:hAnsi="Verdana"/>
          <w:snapToGrid w:val="0"/>
          <w:lang w:eastAsia="it-IT"/>
        </w:rPr>
        <w:t>nominal</w:t>
      </w:r>
      <w:proofErr w:type="spellEnd"/>
      <w:r w:rsidRPr="00407000">
        <w:rPr>
          <w:rFonts w:ascii="Verdana" w:hAnsi="Verdana"/>
          <w:snapToGrid w:val="0"/>
          <w:lang w:eastAsia="it-IT"/>
        </w:rPr>
        <w:t xml:space="preserve"> </w:t>
      </w:r>
      <w:proofErr w:type="spellStart"/>
      <w:r w:rsidRPr="00407000">
        <w:rPr>
          <w:rFonts w:ascii="Verdana" w:hAnsi="Verdana"/>
          <w:snapToGrid w:val="0"/>
          <w:lang w:eastAsia="it-IT"/>
        </w:rPr>
        <w:t>plaintiff</w:t>
      </w:r>
      <w:proofErr w:type="spellEnd"/>
      <w:r w:rsidRPr="00407000">
        <w:rPr>
          <w:rFonts w:ascii="Verdana" w:hAnsi="Verdana"/>
          <w:snapToGrid w:val="0"/>
          <w:lang w:eastAsia="it-IT"/>
        </w:rPr>
        <w:t xml:space="preserve"> per conto di </w:t>
      </w:r>
      <w:proofErr w:type="spellStart"/>
      <w:r w:rsidRPr="00407000">
        <w:rPr>
          <w:rFonts w:ascii="Verdana" w:hAnsi="Verdana"/>
          <w:snapToGrid w:val="0"/>
          <w:lang w:eastAsia="it-IT"/>
        </w:rPr>
        <w:t>Atkins</w:t>
      </w:r>
      <w:proofErr w:type="spellEnd"/>
      <w:r w:rsidRPr="00407000">
        <w:rPr>
          <w:rFonts w:ascii="Verdana" w:hAnsi="Verdana"/>
          <w:snapToGrid w:val="0"/>
          <w:lang w:eastAsia="it-IT"/>
        </w:rPr>
        <w:t xml:space="preserve"> (il </w:t>
      </w:r>
      <w:proofErr w:type="spellStart"/>
      <w:r w:rsidRPr="00407000">
        <w:rPr>
          <w:rFonts w:ascii="Verdana" w:hAnsi="Verdana"/>
          <w:snapToGrid w:val="0"/>
          <w:lang w:eastAsia="it-IT"/>
        </w:rPr>
        <w:t>freeholder</w:t>
      </w:r>
      <w:proofErr w:type="spellEnd"/>
      <w:r w:rsidRPr="00407000">
        <w:rPr>
          <w:rFonts w:ascii="Verdana" w:hAnsi="Verdana"/>
          <w:snapToGrid w:val="0"/>
          <w:lang w:eastAsia="it-IT"/>
        </w:rPr>
        <w:t xml:space="preserve"> e concedente del </w:t>
      </w:r>
      <w:proofErr w:type="spellStart"/>
      <w:r w:rsidRPr="00407000">
        <w:rPr>
          <w:rFonts w:ascii="Verdana" w:hAnsi="Verdana"/>
          <w:snapToGrid w:val="0"/>
          <w:lang w:eastAsia="it-IT"/>
        </w:rPr>
        <w:t>lease</w:t>
      </w:r>
      <w:proofErr w:type="spellEnd"/>
      <w:r w:rsidRPr="00407000">
        <w:rPr>
          <w:rFonts w:ascii="Verdana" w:hAnsi="Verdana"/>
          <w:snapToGrid w:val="0"/>
          <w:lang w:eastAsia="it-IT"/>
        </w:rPr>
        <w:t xml:space="preserve">) e </w:t>
      </w:r>
      <w:proofErr w:type="spellStart"/>
      <w:r w:rsidRPr="00407000">
        <w:rPr>
          <w:rFonts w:ascii="Verdana" w:hAnsi="Verdana"/>
          <w:snapToGrid w:val="0"/>
          <w:lang w:eastAsia="it-IT"/>
        </w:rPr>
        <w:t>Horde</w:t>
      </w:r>
      <w:proofErr w:type="spellEnd"/>
      <w:r w:rsidRPr="00407000">
        <w:rPr>
          <w:rFonts w:ascii="Verdana" w:hAnsi="Verdana"/>
          <w:snapToGrid w:val="0"/>
          <w:lang w:eastAsia="it-IT"/>
        </w:rPr>
        <w:t xml:space="preserve"> il convenuto si sostituisce la reale controversia tra </w:t>
      </w:r>
      <w:proofErr w:type="spellStart"/>
      <w:r w:rsidRPr="00407000">
        <w:rPr>
          <w:rFonts w:ascii="Verdana" w:hAnsi="Verdana"/>
          <w:snapToGrid w:val="0"/>
          <w:lang w:eastAsia="it-IT"/>
        </w:rPr>
        <w:t>Atkins</w:t>
      </w:r>
      <w:proofErr w:type="spellEnd"/>
      <w:r w:rsidRPr="00407000">
        <w:rPr>
          <w:rFonts w:ascii="Verdana" w:hAnsi="Verdana"/>
          <w:snapToGrid w:val="0"/>
          <w:lang w:eastAsia="it-IT"/>
        </w:rPr>
        <w:t xml:space="preserve"> e </w:t>
      </w:r>
      <w:proofErr w:type="spellStart"/>
      <w:r w:rsidRPr="00407000">
        <w:rPr>
          <w:rFonts w:ascii="Verdana" w:hAnsi="Verdana"/>
          <w:snapToGrid w:val="0"/>
          <w:lang w:eastAsia="it-IT"/>
        </w:rPr>
        <w:t>Horde</w:t>
      </w:r>
      <w:proofErr w:type="spellEnd"/>
      <w:r w:rsidRPr="00407000">
        <w:rPr>
          <w:rFonts w:ascii="Verdana" w:hAnsi="Verdana"/>
          <w:snapToGrid w:val="0"/>
          <w:lang w:eastAsia="it-IT"/>
        </w:rPr>
        <w:t xml:space="preserve"> (il caso sarà </w:t>
      </w:r>
      <w:r w:rsidR="00AF357B">
        <w:rPr>
          <w:rFonts w:ascii="Verdana" w:hAnsi="Verdana"/>
          <w:snapToGrid w:val="0"/>
          <w:lang w:eastAsia="it-IT"/>
        </w:rPr>
        <w:t xml:space="preserve">semplicemente </w:t>
      </w:r>
      <w:r w:rsidRPr="00407000">
        <w:rPr>
          <w:rFonts w:ascii="Verdana" w:hAnsi="Verdana"/>
          <w:snapToGrid w:val="0"/>
          <w:lang w:eastAsia="it-IT"/>
        </w:rPr>
        <w:t xml:space="preserve">indicato come </w:t>
      </w:r>
      <w:proofErr w:type="spellStart"/>
      <w:r w:rsidRPr="00AF357B">
        <w:rPr>
          <w:rFonts w:ascii="Verdana" w:hAnsi="Verdana"/>
          <w:i/>
          <w:snapToGrid w:val="0"/>
          <w:lang w:eastAsia="it-IT"/>
        </w:rPr>
        <w:t>Atkins</w:t>
      </w:r>
      <w:proofErr w:type="spellEnd"/>
      <w:r w:rsidRPr="00AF357B">
        <w:rPr>
          <w:rFonts w:ascii="Verdana" w:hAnsi="Verdana"/>
          <w:i/>
          <w:snapToGrid w:val="0"/>
          <w:lang w:eastAsia="it-IT"/>
        </w:rPr>
        <w:t xml:space="preserve"> v. </w:t>
      </w:r>
      <w:proofErr w:type="spellStart"/>
      <w:r w:rsidRPr="00AF357B">
        <w:rPr>
          <w:rFonts w:ascii="Verdana" w:hAnsi="Verdana"/>
          <w:i/>
          <w:snapToGrid w:val="0"/>
          <w:lang w:eastAsia="it-IT"/>
        </w:rPr>
        <w:t>Horde</w:t>
      </w:r>
      <w:proofErr w:type="spellEnd"/>
      <w:r w:rsidRPr="00407000">
        <w:rPr>
          <w:rFonts w:ascii="Verdana" w:hAnsi="Verdana"/>
          <w:snapToGrid w:val="0"/>
          <w:lang w:eastAsia="it-IT"/>
        </w:rPr>
        <w:t>).</w:t>
      </w:r>
    </w:p>
  </w:footnote>
  <w:footnote w:id="7">
    <w:p w:rsidR="00A63E81" w:rsidRPr="00A63E81" w:rsidRDefault="00A63E81" w:rsidP="00B55AF0">
      <w:pPr>
        <w:pStyle w:val="Titolo1"/>
        <w:spacing w:after="0" w:afterAutospacing="0"/>
        <w:rPr>
          <w:lang w:val="en-US"/>
        </w:rPr>
      </w:pPr>
      <w:r w:rsidRPr="008A7E81">
        <w:rPr>
          <w:rStyle w:val="Rimandonotaapidipagina"/>
          <w:rFonts w:ascii="Verdana" w:hAnsi="Verdana"/>
          <w:b w:val="0"/>
          <w:sz w:val="22"/>
          <w:szCs w:val="22"/>
        </w:rPr>
        <w:footnoteRef/>
      </w:r>
      <w:r w:rsidRPr="008A7E81">
        <w:rPr>
          <w:rFonts w:ascii="Verdana" w:hAnsi="Verdana"/>
          <w:b w:val="0"/>
          <w:sz w:val="22"/>
          <w:szCs w:val="22"/>
          <w:lang w:val="en-US"/>
        </w:rPr>
        <w:t xml:space="preserve"> </w:t>
      </w:r>
      <w:proofErr w:type="spellStart"/>
      <w:r w:rsidRPr="008A7E81">
        <w:rPr>
          <w:rFonts w:ascii="Verdana" w:hAnsi="Verdana"/>
          <w:b w:val="0"/>
          <w:sz w:val="22"/>
          <w:szCs w:val="22"/>
          <w:lang w:val="en-US"/>
        </w:rPr>
        <w:t>Cfr</w:t>
      </w:r>
      <w:proofErr w:type="spellEnd"/>
      <w:r w:rsidRPr="008A7E81">
        <w:rPr>
          <w:rFonts w:ascii="Verdana" w:hAnsi="Verdana"/>
          <w:b w:val="0"/>
          <w:sz w:val="22"/>
          <w:szCs w:val="22"/>
          <w:lang w:val="en-US"/>
        </w:rPr>
        <w:t xml:space="preserve">. ad </w:t>
      </w:r>
      <w:proofErr w:type="spellStart"/>
      <w:r w:rsidRPr="008A7E81">
        <w:rPr>
          <w:rFonts w:ascii="Verdana" w:hAnsi="Verdana"/>
          <w:b w:val="0"/>
          <w:sz w:val="22"/>
          <w:szCs w:val="22"/>
          <w:lang w:val="en-US"/>
        </w:rPr>
        <w:t>es</w:t>
      </w:r>
      <w:proofErr w:type="spellEnd"/>
      <w:r w:rsidRPr="008A7E81">
        <w:rPr>
          <w:rFonts w:ascii="Verdana" w:hAnsi="Verdana"/>
          <w:b w:val="0"/>
          <w:sz w:val="22"/>
          <w:szCs w:val="22"/>
          <w:lang w:val="en-US"/>
        </w:rPr>
        <w:t xml:space="preserve">. </w:t>
      </w:r>
      <w:r w:rsidR="008A7E81" w:rsidRPr="008A7E81">
        <w:rPr>
          <w:rFonts w:ascii="Verdana" w:hAnsi="Verdana"/>
          <w:b w:val="0"/>
          <w:sz w:val="22"/>
          <w:szCs w:val="22"/>
          <w:lang w:val="en-US"/>
        </w:rPr>
        <w:t>Ju</w:t>
      </w:r>
      <w:r w:rsidR="008A7E81" w:rsidRPr="008A7E81">
        <w:rPr>
          <w:rFonts w:ascii="Verdana" w:hAnsi="Verdana"/>
          <w:b w:val="0"/>
          <w:sz w:val="22"/>
          <w:szCs w:val="22"/>
          <w:lang w:val="en-US"/>
        </w:rPr>
        <w:t>stice Jones</w:t>
      </w:r>
      <w:r w:rsidR="008A7E81" w:rsidRPr="008A7E81">
        <w:rPr>
          <w:rFonts w:ascii="Verdana" w:hAnsi="Verdana"/>
          <w:b w:val="0"/>
          <w:sz w:val="22"/>
          <w:szCs w:val="22"/>
          <w:lang w:val="en-US"/>
        </w:rPr>
        <w:t xml:space="preserve">, </w:t>
      </w:r>
      <w:proofErr w:type="spellStart"/>
      <w:r w:rsidR="008A7E81" w:rsidRPr="008A7E81">
        <w:rPr>
          <w:rFonts w:ascii="Verdana" w:hAnsi="Verdana"/>
          <w:b w:val="0"/>
          <w:sz w:val="22"/>
          <w:szCs w:val="22"/>
          <w:lang w:val="en-US"/>
        </w:rPr>
        <w:t>cita</w:t>
      </w:r>
      <w:proofErr w:type="spellEnd"/>
      <w:r w:rsidR="008A7E81" w:rsidRPr="008A7E81">
        <w:rPr>
          <w:rFonts w:ascii="Verdana" w:hAnsi="Verdana"/>
          <w:b w:val="0"/>
          <w:sz w:val="22"/>
          <w:szCs w:val="22"/>
          <w:lang w:val="en-US"/>
        </w:rPr>
        <w:t xml:space="preserve">  </w:t>
      </w:r>
      <w:proofErr w:type="spellStart"/>
      <w:r w:rsidRPr="008A7E81">
        <w:rPr>
          <w:rFonts w:ascii="Verdana" w:hAnsi="Verdana"/>
          <w:b w:val="0"/>
          <w:sz w:val="22"/>
          <w:szCs w:val="22"/>
          <w:lang w:val="en-US"/>
        </w:rPr>
        <w:t>il</w:t>
      </w:r>
      <w:proofErr w:type="spellEnd"/>
      <w:r w:rsidRPr="008A7E81">
        <w:rPr>
          <w:rFonts w:ascii="Verdana" w:hAnsi="Verdana"/>
          <w:b w:val="0"/>
          <w:sz w:val="22"/>
          <w:szCs w:val="22"/>
          <w:lang w:val="en-US"/>
        </w:rPr>
        <w:t xml:space="preserve"> </w:t>
      </w:r>
      <w:proofErr w:type="spellStart"/>
      <w:r w:rsidRPr="008A7E81">
        <w:rPr>
          <w:rFonts w:ascii="Verdana" w:hAnsi="Verdana"/>
          <w:b w:val="0"/>
          <w:sz w:val="22"/>
          <w:szCs w:val="22"/>
          <w:lang w:val="en-US"/>
        </w:rPr>
        <w:t>caso</w:t>
      </w:r>
      <w:proofErr w:type="spellEnd"/>
      <w:r w:rsidRPr="008A7E81">
        <w:rPr>
          <w:rFonts w:ascii="Verdana" w:hAnsi="Verdana"/>
          <w:b w:val="0"/>
          <w:sz w:val="22"/>
          <w:szCs w:val="22"/>
          <w:lang w:val="en-US"/>
        </w:rPr>
        <w:t xml:space="preserve"> </w:t>
      </w:r>
      <w:proofErr w:type="spellStart"/>
      <w:r w:rsidRPr="008A7E81">
        <w:rPr>
          <w:rFonts w:ascii="Verdana" w:hAnsi="Verdana"/>
          <w:b w:val="0"/>
          <w:i/>
          <w:sz w:val="22"/>
          <w:szCs w:val="22"/>
          <w:lang w:val="en-US"/>
        </w:rPr>
        <w:t>Fairclaim</w:t>
      </w:r>
      <w:proofErr w:type="spellEnd"/>
      <w:r w:rsidRPr="008A7E81">
        <w:rPr>
          <w:rFonts w:ascii="Verdana" w:hAnsi="Verdana"/>
          <w:b w:val="0"/>
          <w:i/>
          <w:sz w:val="22"/>
          <w:szCs w:val="22"/>
          <w:lang w:val="en-US"/>
        </w:rPr>
        <w:t xml:space="preserve"> v. </w:t>
      </w:r>
      <w:proofErr w:type="spellStart"/>
      <w:r w:rsidRPr="008A7E81">
        <w:rPr>
          <w:rFonts w:ascii="Verdana" w:hAnsi="Verdana"/>
          <w:b w:val="0"/>
          <w:i/>
          <w:sz w:val="22"/>
          <w:szCs w:val="22"/>
          <w:lang w:val="en-US"/>
        </w:rPr>
        <w:t>Shamtitle</w:t>
      </w:r>
      <w:proofErr w:type="spellEnd"/>
      <w:r w:rsidRPr="008A7E81">
        <w:rPr>
          <w:rFonts w:ascii="Verdana" w:hAnsi="Verdana"/>
          <w:b w:val="0"/>
          <w:sz w:val="22"/>
          <w:szCs w:val="22"/>
          <w:lang w:val="en-US"/>
        </w:rPr>
        <w:t xml:space="preserve">, </w:t>
      </w:r>
      <w:r w:rsidR="008A7E81">
        <w:rPr>
          <w:rFonts w:ascii="Verdana" w:hAnsi="Verdana"/>
          <w:b w:val="0"/>
          <w:sz w:val="22"/>
          <w:szCs w:val="22"/>
          <w:lang w:val="en-US"/>
        </w:rPr>
        <w:t xml:space="preserve">in </w:t>
      </w:r>
      <w:r w:rsidR="008A7E81" w:rsidRPr="008A7E81">
        <w:rPr>
          <w:rFonts w:ascii="Verdana" w:hAnsi="Verdana"/>
          <w:b w:val="0"/>
          <w:sz w:val="22"/>
          <w:szCs w:val="22"/>
          <w:lang w:val="en-US"/>
        </w:rPr>
        <w:t xml:space="preserve"> </w:t>
      </w:r>
      <w:r w:rsidRPr="008A7E81">
        <w:rPr>
          <w:rFonts w:ascii="Verdana" w:hAnsi="Verdana"/>
          <w:b w:val="0"/>
          <w:i/>
          <w:sz w:val="22"/>
          <w:szCs w:val="22"/>
          <w:lang w:val="en-US"/>
        </w:rPr>
        <w:t>Queen's Bench and Practice Court Reports</w:t>
      </w:r>
      <w:r w:rsidR="008A7E81" w:rsidRPr="008A7E81">
        <w:rPr>
          <w:rFonts w:ascii="Verdana" w:hAnsi="Verdana"/>
          <w:b w:val="0"/>
          <w:sz w:val="22"/>
          <w:szCs w:val="22"/>
          <w:lang w:val="en-US"/>
        </w:rPr>
        <w:t>, by J. H. Cameron, vol. 2, Toronto, 1894, p. 34</w:t>
      </w:r>
      <w:r w:rsidR="00B55AF0">
        <w:rPr>
          <w:rFonts w:ascii="Verdana" w:hAnsi="Verdana"/>
          <w:b w:val="0"/>
          <w:sz w:val="22"/>
          <w:szCs w:val="22"/>
          <w:lang w:val="en-US"/>
        </w:rPr>
        <w:t>.</w:t>
      </w:r>
    </w:p>
  </w:footnote>
  <w:footnote w:id="8">
    <w:p w:rsidR="00B6468C" w:rsidRPr="00B55AF0" w:rsidRDefault="00B6468C" w:rsidP="00B55AF0">
      <w:pPr>
        <w:pStyle w:val="Titolo1"/>
        <w:spacing w:before="0" w:beforeAutospacing="0" w:after="0" w:afterAutospacing="0"/>
        <w:rPr>
          <w:rFonts w:ascii="Verdana" w:hAnsi="Verdana"/>
          <w:b w:val="0"/>
          <w:sz w:val="22"/>
          <w:szCs w:val="22"/>
        </w:rPr>
      </w:pPr>
      <w:r w:rsidRPr="00B55AF0">
        <w:rPr>
          <w:rStyle w:val="Rimandonotaapidipagina"/>
          <w:rFonts w:ascii="Verdana" w:hAnsi="Verdana"/>
          <w:b w:val="0"/>
          <w:sz w:val="22"/>
          <w:szCs w:val="22"/>
        </w:rPr>
        <w:footnoteRef/>
      </w:r>
      <w:r w:rsidRPr="00B55AF0">
        <w:rPr>
          <w:rFonts w:ascii="Verdana" w:hAnsi="Verdana"/>
          <w:b w:val="0"/>
          <w:sz w:val="22"/>
          <w:szCs w:val="22"/>
        </w:rPr>
        <w:t xml:space="preserve"> </w:t>
      </w:r>
      <w:r w:rsidRPr="00B55AF0">
        <w:rPr>
          <w:rFonts w:ascii="Verdana" w:hAnsi="Verdana"/>
          <w:b w:val="0"/>
          <w:sz w:val="22"/>
          <w:szCs w:val="22"/>
        </w:rPr>
        <w:t xml:space="preserve">Norma </w:t>
      </w:r>
      <w:proofErr w:type="spellStart"/>
      <w:r w:rsidRPr="00B55AF0">
        <w:rPr>
          <w:rFonts w:ascii="Verdana" w:hAnsi="Verdana"/>
          <w:b w:val="0"/>
          <w:sz w:val="22"/>
          <w:szCs w:val="22"/>
        </w:rPr>
        <w:t>McCorve</w:t>
      </w:r>
      <w:r w:rsidR="00B55AF0">
        <w:rPr>
          <w:rFonts w:ascii="Verdana" w:hAnsi="Verdana"/>
          <w:b w:val="0"/>
          <w:sz w:val="22"/>
          <w:szCs w:val="22"/>
        </w:rPr>
        <w:t>y</w:t>
      </w:r>
      <w:proofErr w:type="spellEnd"/>
      <w:r w:rsidRPr="00B55AF0">
        <w:rPr>
          <w:rFonts w:ascii="Verdana" w:hAnsi="Verdana"/>
          <w:b w:val="0"/>
          <w:sz w:val="22"/>
          <w:szCs w:val="22"/>
        </w:rPr>
        <w:t xml:space="preserve"> era il nome reale dell’attrice in giudizio che conveniva davanti alla corte </w:t>
      </w:r>
      <w:r w:rsidR="00B55AF0" w:rsidRPr="00B55AF0">
        <w:rPr>
          <w:rFonts w:ascii="Verdana" w:hAnsi="Verdana"/>
          <w:b w:val="0"/>
          <w:sz w:val="22"/>
          <w:szCs w:val="22"/>
        </w:rPr>
        <w:t xml:space="preserve">Henri </w:t>
      </w:r>
      <w:proofErr w:type="spellStart"/>
      <w:r w:rsidR="00B55AF0" w:rsidRPr="00B55AF0">
        <w:rPr>
          <w:rFonts w:ascii="Verdana" w:hAnsi="Verdana"/>
          <w:b w:val="0"/>
          <w:sz w:val="22"/>
          <w:szCs w:val="22"/>
        </w:rPr>
        <w:t>Wade</w:t>
      </w:r>
      <w:proofErr w:type="spellEnd"/>
      <w:r w:rsidR="00B55AF0" w:rsidRPr="00B55AF0">
        <w:rPr>
          <w:rFonts w:ascii="Verdana" w:hAnsi="Verdana"/>
          <w:b w:val="0"/>
          <w:sz w:val="22"/>
          <w:szCs w:val="22"/>
        </w:rPr>
        <w:t xml:space="preserve">, </w:t>
      </w:r>
      <w:r w:rsidRPr="00B55AF0">
        <w:rPr>
          <w:rFonts w:ascii="Verdana" w:hAnsi="Verdana"/>
          <w:b w:val="0"/>
          <w:sz w:val="22"/>
          <w:szCs w:val="22"/>
        </w:rPr>
        <w:t xml:space="preserve">il </w:t>
      </w:r>
      <w:r w:rsidR="00B55AF0" w:rsidRPr="00B55AF0">
        <w:rPr>
          <w:rFonts w:ascii="Verdana" w:hAnsi="Verdana"/>
          <w:b w:val="0"/>
          <w:sz w:val="22"/>
          <w:szCs w:val="22"/>
        </w:rPr>
        <w:t>“</w:t>
      </w:r>
      <w:proofErr w:type="spellStart"/>
      <w:r w:rsidRPr="00B55AF0">
        <w:rPr>
          <w:rFonts w:ascii="Verdana" w:hAnsi="Verdana"/>
          <w:b w:val="0"/>
          <w:sz w:val="22"/>
          <w:szCs w:val="22"/>
        </w:rPr>
        <w:t>district</w:t>
      </w:r>
      <w:proofErr w:type="spellEnd"/>
      <w:r w:rsidRPr="00B55AF0">
        <w:rPr>
          <w:rFonts w:ascii="Verdana" w:hAnsi="Verdana"/>
          <w:b w:val="0"/>
          <w:sz w:val="22"/>
          <w:szCs w:val="22"/>
        </w:rPr>
        <w:t xml:space="preserve"> </w:t>
      </w:r>
      <w:proofErr w:type="spellStart"/>
      <w:r w:rsidRPr="00B55AF0">
        <w:rPr>
          <w:rFonts w:ascii="Verdana" w:hAnsi="Verdana"/>
          <w:b w:val="0"/>
          <w:sz w:val="22"/>
          <w:szCs w:val="22"/>
        </w:rPr>
        <w:t>attorney</w:t>
      </w:r>
      <w:proofErr w:type="spellEnd"/>
      <w:r w:rsidR="00B55AF0" w:rsidRPr="00B55AF0">
        <w:rPr>
          <w:rFonts w:ascii="Verdana" w:hAnsi="Verdana"/>
          <w:b w:val="0"/>
          <w:sz w:val="22"/>
          <w:szCs w:val="22"/>
        </w:rPr>
        <w:t>” del</w:t>
      </w:r>
      <w:r w:rsidRPr="00B55AF0">
        <w:rPr>
          <w:rFonts w:ascii="Verdana" w:hAnsi="Verdana"/>
          <w:b w:val="0"/>
          <w:sz w:val="22"/>
          <w:szCs w:val="22"/>
        </w:rPr>
        <w:t xml:space="preserve"> Dallas </w:t>
      </w:r>
      <w:proofErr w:type="spellStart"/>
      <w:r w:rsidRPr="00B55AF0">
        <w:rPr>
          <w:rFonts w:ascii="Verdana" w:hAnsi="Verdana"/>
          <w:b w:val="0"/>
          <w:sz w:val="22"/>
          <w:szCs w:val="22"/>
        </w:rPr>
        <w:t>county</w:t>
      </w:r>
      <w:proofErr w:type="spellEnd"/>
      <w:r w:rsidR="00B55AF0" w:rsidRPr="00B55AF0">
        <w:rPr>
          <w:rFonts w:ascii="Verdana" w:hAnsi="Verdana"/>
          <w:b w:val="0"/>
          <w:sz w:val="22"/>
          <w:szCs w:val="22"/>
        </w:rPr>
        <w:t>, il rappresentante della  pubblica accusa in materia penale:</w:t>
      </w:r>
      <w:r w:rsidRPr="00B55AF0">
        <w:rPr>
          <w:rFonts w:ascii="Verdana" w:hAnsi="Verdana"/>
          <w:b w:val="0"/>
          <w:sz w:val="22"/>
          <w:szCs w:val="22"/>
        </w:rPr>
        <w:t xml:space="preserve"> </w:t>
      </w:r>
      <w:r w:rsidRPr="00B55AF0">
        <w:rPr>
          <w:rFonts w:ascii="Verdana" w:hAnsi="Verdana"/>
          <w:b w:val="0"/>
          <w:sz w:val="22"/>
          <w:szCs w:val="22"/>
        </w:rPr>
        <w:t>410 U.S. 113</w:t>
      </w:r>
      <w:r w:rsidR="00B55AF0">
        <w:rPr>
          <w:rFonts w:ascii="Verdana" w:hAnsi="Verdana"/>
          <w:b w:val="0"/>
          <w:sz w:val="22"/>
          <w:szCs w:val="22"/>
        </w:rPr>
        <w:t xml:space="preserve"> (1973). Lo scopo era di sentire dichiarare che la legislazione penale contro l’aborto, anche nei momenti inziali delle gravidanza, confliggeva con il diritto alla riservatezza degli individui.</w:t>
      </w:r>
    </w:p>
    <w:p w:rsidR="00B6468C" w:rsidRDefault="00B6468C" w:rsidP="00B6468C"/>
    <w:p w:rsidR="00B6468C" w:rsidRDefault="00B6468C" w:rsidP="00B6468C">
      <w:pPr>
        <w:pStyle w:val="Testonotaapidipagina"/>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0F7F17"/>
    <w:multiLevelType w:val="multilevel"/>
    <w:tmpl w:val="F88A7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9FB"/>
    <w:rsid w:val="000142D2"/>
    <w:rsid w:val="001A1F53"/>
    <w:rsid w:val="001F4573"/>
    <w:rsid w:val="00255AFE"/>
    <w:rsid w:val="0031009B"/>
    <w:rsid w:val="00360F9C"/>
    <w:rsid w:val="003A6F51"/>
    <w:rsid w:val="003A7416"/>
    <w:rsid w:val="00400BC0"/>
    <w:rsid w:val="00407000"/>
    <w:rsid w:val="004C26A6"/>
    <w:rsid w:val="005027D3"/>
    <w:rsid w:val="005B383F"/>
    <w:rsid w:val="005F2465"/>
    <w:rsid w:val="00706067"/>
    <w:rsid w:val="008579FB"/>
    <w:rsid w:val="00875044"/>
    <w:rsid w:val="00890E03"/>
    <w:rsid w:val="008A7E81"/>
    <w:rsid w:val="008C316C"/>
    <w:rsid w:val="009E203B"/>
    <w:rsid w:val="00A51DF1"/>
    <w:rsid w:val="00A63E81"/>
    <w:rsid w:val="00AF357B"/>
    <w:rsid w:val="00B55AF0"/>
    <w:rsid w:val="00B6468C"/>
    <w:rsid w:val="00C30FFB"/>
    <w:rsid w:val="00CA271F"/>
    <w:rsid w:val="00CF07FC"/>
    <w:rsid w:val="00E01971"/>
    <w:rsid w:val="00E507EB"/>
    <w:rsid w:val="00E9115D"/>
    <w:rsid w:val="00F33D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A63E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3">
    <w:name w:val="heading 3"/>
    <w:basedOn w:val="Normale"/>
    <w:next w:val="Normale"/>
    <w:link w:val="Titolo3Carattere"/>
    <w:uiPriority w:val="9"/>
    <w:semiHidden/>
    <w:unhideWhenUsed/>
    <w:qFormat/>
    <w:rsid w:val="00B6468C"/>
    <w:pPr>
      <w:keepNext/>
      <w:keepLines/>
      <w:spacing w:before="200" w:after="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3A6F51"/>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3A6F51"/>
    <w:rPr>
      <w:sz w:val="20"/>
      <w:szCs w:val="20"/>
    </w:rPr>
  </w:style>
  <w:style w:type="character" w:styleId="Rimandonotaapidipagina">
    <w:name w:val="footnote reference"/>
    <w:basedOn w:val="Carpredefinitoparagrafo"/>
    <w:uiPriority w:val="99"/>
    <w:semiHidden/>
    <w:unhideWhenUsed/>
    <w:rsid w:val="003A6F51"/>
    <w:rPr>
      <w:vertAlign w:val="superscript"/>
    </w:rPr>
  </w:style>
  <w:style w:type="paragraph" w:styleId="Testonormale">
    <w:name w:val="Plain Text"/>
    <w:basedOn w:val="Normale"/>
    <w:link w:val="TestonormaleCarattere"/>
    <w:uiPriority w:val="99"/>
    <w:unhideWhenUsed/>
    <w:rsid w:val="003A6F51"/>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rsid w:val="003A6F51"/>
    <w:rPr>
      <w:rFonts w:ascii="Consolas" w:hAnsi="Consolas"/>
      <w:sz w:val="21"/>
      <w:szCs w:val="21"/>
    </w:rPr>
  </w:style>
  <w:style w:type="paragraph" w:styleId="NormaleWeb">
    <w:name w:val="Normal (Web)"/>
    <w:basedOn w:val="Normale"/>
    <w:uiPriority w:val="99"/>
    <w:unhideWhenUsed/>
    <w:rsid w:val="00E9115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E9115D"/>
    <w:rPr>
      <w:color w:val="0000FF"/>
      <w:u w:val="single"/>
    </w:rPr>
  </w:style>
  <w:style w:type="character" w:customStyle="1" w:styleId="st">
    <w:name w:val="st"/>
    <w:basedOn w:val="Carpredefinitoparagrafo"/>
    <w:rsid w:val="00A63E81"/>
  </w:style>
  <w:style w:type="character" w:customStyle="1" w:styleId="Titolo1Carattere">
    <w:name w:val="Titolo 1 Carattere"/>
    <w:basedOn w:val="Carpredefinitoparagrafo"/>
    <w:link w:val="Titolo1"/>
    <w:uiPriority w:val="9"/>
    <w:rsid w:val="00A63E81"/>
    <w:rPr>
      <w:rFonts w:ascii="Times New Roman" w:eastAsia="Times New Roman" w:hAnsi="Times New Roman" w:cs="Times New Roman"/>
      <w:b/>
      <w:bCs/>
      <w:kern w:val="36"/>
      <w:sz w:val="48"/>
      <w:szCs w:val="48"/>
      <w:lang w:eastAsia="it-IT"/>
    </w:rPr>
  </w:style>
  <w:style w:type="character" w:customStyle="1" w:styleId="Titolo3Carattere">
    <w:name w:val="Titolo 3 Carattere"/>
    <w:basedOn w:val="Carpredefinitoparagrafo"/>
    <w:link w:val="Titolo3"/>
    <w:uiPriority w:val="9"/>
    <w:rsid w:val="00B6468C"/>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A63E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3">
    <w:name w:val="heading 3"/>
    <w:basedOn w:val="Normale"/>
    <w:next w:val="Normale"/>
    <w:link w:val="Titolo3Carattere"/>
    <w:uiPriority w:val="9"/>
    <w:semiHidden/>
    <w:unhideWhenUsed/>
    <w:qFormat/>
    <w:rsid w:val="00B6468C"/>
    <w:pPr>
      <w:keepNext/>
      <w:keepLines/>
      <w:spacing w:before="200" w:after="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3A6F51"/>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3A6F51"/>
    <w:rPr>
      <w:sz w:val="20"/>
      <w:szCs w:val="20"/>
    </w:rPr>
  </w:style>
  <w:style w:type="character" w:styleId="Rimandonotaapidipagina">
    <w:name w:val="footnote reference"/>
    <w:basedOn w:val="Carpredefinitoparagrafo"/>
    <w:uiPriority w:val="99"/>
    <w:semiHidden/>
    <w:unhideWhenUsed/>
    <w:rsid w:val="003A6F51"/>
    <w:rPr>
      <w:vertAlign w:val="superscript"/>
    </w:rPr>
  </w:style>
  <w:style w:type="paragraph" w:styleId="Testonormale">
    <w:name w:val="Plain Text"/>
    <w:basedOn w:val="Normale"/>
    <w:link w:val="TestonormaleCarattere"/>
    <w:uiPriority w:val="99"/>
    <w:unhideWhenUsed/>
    <w:rsid w:val="003A6F51"/>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rsid w:val="003A6F51"/>
    <w:rPr>
      <w:rFonts w:ascii="Consolas" w:hAnsi="Consolas"/>
      <w:sz w:val="21"/>
      <w:szCs w:val="21"/>
    </w:rPr>
  </w:style>
  <w:style w:type="paragraph" w:styleId="NormaleWeb">
    <w:name w:val="Normal (Web)"/>
    <w:basedOn w:val="Normale"/>
    <w:uiPriority w:val="99"/>
    <w:unhideWhenUsed/>
    <w:rsid w:val="00E9115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E9115D"/>
    <w:rPr>
      <w:color w:val="0000FF"/>
      <w:u w:val="single"/>
    </w:rPr>
  </w:style>
  <w:style w:type="character" w:customStyle="1" w:styleId="st">
    <w:name w:val="st"/>
    <w:basedOn w:val="Carpredefinitoparagrafo"/>
    <w:rsid w:val="00A63E81"/>
  </w:style>
  <w:style w:type="character" w:customStyle="1" w:styleId="Titolo1Carattere">
    <w:name w:val="Titolo 1 Carattere"/>
    <w:basedOn w:val="Carpredefinitoparagrafo"/>
    <w:link w:val="Titolo1"/>
    <w:uiPriority w:val="9"/>
    <w:rsid w:val="00A63E81"/>
    <w:rPr>
      <w:rFonts w:ascii="Times New Roman" w:eastAsia="Times New Roman" w:hAnsi="Times New Roman" w:cs="Times New Roman"/>
      <w:b/>
      <w:bCs/>
      <w:kern w:val="36"/>
      <w:sz w:val="48"/>
      <w:szCs w:val="48"/>
      <w:lang w:eastAsia="it-IT"/>
    </w:rPr>
  </w:style>
  <w:style w:type="character" w:customStyle="1" w:styleId="Titolo3Carattere">
    <w:name w:val="Titolo 3 Carattere"/>
    <w:basedOn w:val="Carpredefinitoparagrafo"/>
    <w:link w:val="Titolo3"/>
    <w:uiPriority w:val="9"/>
    <w:rsid w:val="00B6468C"/>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493847">
      <w:bodyDiv w:val="1"/>
      <w:marLeft w:val="0"/>
      <w:marRight w:val="0"/>
      <w:marTop w:val="0"/>
      <w:marBottom w:val="0"/>
      <w:divBdr>
        <w:top w:val="none" w:sz="0" w:space="0" w:color="auto"/>
        <w:left w:val="none" w:sz="0" w:space="0" w:color="auto"/>
        <w:bottom w:val="none" w:sz="0" w:space="0" w:color="auto"/>
        <w:right w:val="none" w:sz="0" w:space="0" w:color="auto"/>
      </w:divBdr>
    </w:div>
    <w:div w:id="843320917">
      <w:bodyDiv w:val="1"/>
      <w:marLeft w:val="0"/>
      <w:marRight w:val="0"/>
      <w:marTop w:val="0"/>
      <w:marBottom w:val="0"/>
      <w:divBdr>
        <w:top w:val="none" w:sz="0" w:space="0" w:color="auto"/>
        <w:left w:val="none" w:sz="0" w:space="0" w:color="auto"/>
        <w:bottom w:val="none" w:sz="0" w:space="0" w:color="auto"/>
        <w:right w:val="none" w:sz="0" w:space="0" w:color="auto"/>
      </w:divBdr>
    </w:div>
    <w:div w:id="1342391818">
      <w:bodyDiv w:val="1"/>
      <w:marLeft w:val="0"/>
      <w:marRight w:val="0"/>
      <w:marTop w:val="0"/>
      <w:marBottom w:val="0"/>
      <w:divBdr>
        <w:top w:val="none" w:sz="0" w:space="0" w:color="auto"/>
        <w:left w:val="none" w:sz="0" w:space="0" w:color="auto"/>
        <w:bottom w:val="none" w:sz="0" w:space="0" w:color="auto"/>
        <w:right w:val="none" w:sz="0" w:space="0" w:color="auto"/>
      </w:divBdr>
    </w:div>
    <w:div w:id="181529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en.wikipedia.org/wiki/Fee_tai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3446A-AF02-4E2B-BF81-5450FFCFF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1107</Words>
  <Characters>6310</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ferreri</dc:creator>
  <cp:lastModifiedBy> silvia ferreri</cp:lastModifiedBy>
  <cp:revision>2</cp:revision>
  <dcterms:created xsi:type="dcterms:W3CDTF">2018-09-24T18:08:00Z</dcterms:created>
  <dcterms:modified xsi:type="dcterms:W3CDTF">2018-09-24T18:08:00Z</dcterms:modified>
</cp:coreProperties>
</file>