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b/>
          <w:bCs/>
          <w:sz w:val="24"/>
        </w:rPr>
      </w:pPr>
      <w:r w:rsidRPr="0090621D">
        <w:rPr>
          <w:rFonts w:cs="Times New Roman"/>
          <w:b/>
          <w:bCs/>
          <w:sz w:val="24"/>
        </w:rPr>
        <w:t xml:space="preserve">DECRETO-LEGGE 15 novembre 1993, n. 453 </w:t>
      </w:r>
      <w:r>
        <w:rPr>
          <w:rFonts w:cs="Times New Roman"/>
          <w:b/>
          <w:bCs/>
          <w:sz w:val="24"/>
        </w:rPr>
        <w:t xml:space="preserve">convertito in legge </w:t>
      </w:r>
      <w:r w:rsidRPr="0090621D">
        <w:rPr>
          <w:rFonts w:cs="Times New Roman"/>
          <w:b/>
          <w:bCs/>
          <w:sz w:val="24"/>
        </w:rPr>
        <w:t>14 gennaio 1994, n. 19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b/>
          <w:bCs/>
          <w:sz w:val="24"/>
        </w:rPr>
      </w:pPr>
    </w:p>
    <w:p w:rsid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b/>
          <w:bCs/>
          <w:sz w:val="24"/>
        </w:rPr>
      </w:pPr>
      <w:r w:rsidRPr="0090621D">
        <w:rPr>
          <w:rFonts w:cs="Times New Roman"/>
          <w:b/>
          <w:bCs/>
          <w:sz w:val="24"/>
        </w:rPr>
        <w:t xml:space="preserve">  Disposizioni  in  materia  di giurisdizione e controllo della Corte</w:t>
      </w:r>
      <w:r w:rsidR="00D14711">
        <w:rPr>
          <w:rFonts w:cs="Times New Roman"/>
          <w:b/>
          <w:bCs/>
          <w:sz w:val="24"/>
        </w:rPr>
        <w:t xml:space="preserve"> </w:t>
      </w:r>
      <w:r w:rsidRPr="0090621D">
        <w:rPr>
          <w:rFonts w:cs="Times New Roman"/>
          <w:b/>
          <w:bCs/>
          <w:sz w:val="24"/>
        </w:rPr>
        <w:t>dei conti.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color w:val="262626"/>
          <w:sz w:val="24"/>
        </w:rPr>
      </w:pPr>
      <w:r w:rsidRPr="0090621D">
        <w:rPr>
          <w:rFonts w:cs="Times New Roman"/>
          <w:color w:val="262626"/>
          <w:sz w:val="24"/>
        </w:rPr>
        <w:t> 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sz w:val="24"/>
        </w:rPr>
      </w:pPr>
      <w:r w:rsidRPr="0090621D">
        <w:rPr>
          <w:rFonts w:cs="Times New Roman"/>
          <w:sz w:val="24"/>
        </w:rPr>
        <w:t>Art. 1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sz w:val="24"/>
        </w:rPr>
      </w:pPr>
      <w:r w:rsidRPr="0090621D">
        <w:rPr>
          <w:rFonts w:cs="Times New Roman"/>
          <w:sz w:val="24"/>
        </w:rPr>
        <w:t>Sezioni regionali della Corte dei conti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1. In tutte le  regioni  sono  istituite  ove  non  </w:t>
      </w:r>
      <w:proofErr w:type="spellStart"/>
      <w:r w:rsidRPr="0090621D">
        <w:rPr>
          <w:rFonts w:cs="Times New Roman"/>
          <w:sz w:val="24"/>
        </w:rPr>
        <w:t>gia'</w:t>
      </w:r>
      <w:proofErr w:type="spellEnd"/>
      <w:r w:rsidRPr="0090621D">
        <w:rPr>
          <w:rFonts w:cs="Times New Roman"/>
          <w:sz w:val="24"/>
        </w:rPr>
        <w:t xml:space="preserve">  esistenti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sezioni giurisdizionali della  Corte  dei  conti  con  circoscrizione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estesa al territorio regionale e con sede nel capoluogo di regione.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2. Nella regione Trentino-Alto Adige  sono  istituite  due  sezioni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giurisdizionali con sede in Trento e in Bolzano  nel  rispetto  della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normativa vigente in materia di tutela delle minoranze linguistiche 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con circoscrizione estesa al rispettivo territorio provinciale.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3. A tutte le sezioni, comprese quelle </w:t>
      </w:r>
      <w:proofErr w:type="spellStart"/>
      <w:r w:rsidRPr="0090621D">
        <w:rPr>
          <w:rFonts w:cs="Times New Roman"/>
          <w:sz w:val="24"/>
        </w:rPr>
        <w:t>gia'</w:t>
      </w:r>
      <w:proofErr w:type="spellEnd"/>
      <w:r w:rsidRPr="0090621D">
        <w:rPr>
          <w:rFonts w:cs="Times New Roman"/>
          <w:sz w:val="24"/>
        </w:rPr>
        <w:t xml:space="preserve"> istituite, si applicano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le disposizioni di cui agli articoli 2, 3, 5, 6, e 11 della  legge  8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ottobre 1984, n. 658.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4. Le sezioni regionali previste al comma 1 e al comma 2,  ove  non</w:t>
      </w:r>
      <w:r w:rsidR="00D14711">
        <w:rPr>
          <w:rFonts w:cs="Times New Roman"/>
          <w:sz w:val="24"/>
        </w:rPr>
        <w:t xml:space="preserve"> </w:t>
      </w:r>
      <w:proofErr w:type="spellStart"/>
      <w:r w:rsidRPr="0090621D">
        <w:rPr>
          <w:rFonts w:cs="Times New Roman"/>
          <w:sz w:val="24"/>
        </w:rPr>
        <w:t>gia'</w:t>
      </w:r>
      <w:proofErr w:type="spellEnd"/>
      <w:r w:rsidRPr="0090621D">
        <w:rPr>
          <w:rFonts w:cs="Times New Roman"/>
          <w:sz w:val="24"/>
        </w:rPr>
        <w:t xml:space="preserve"> costituite, vengono insediate entro sette  mesi  dalla  data  di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entrata  in  vigore  del  presente  decreto.   Entro   venti   giorni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dall'insediamento, sono trasmessi  a  ciascuna  sezione  regionale  i</w:t>
      </w:r>
      <w:r w:rsidR="00D14711">
        <w:rPr>
          <w:rFonts w:cs="Times New Roman"/>
          <w:sz w:val="24"/>
        </w:rPr>
        <w:t xml:space="preserve">  </w:t>
      </w:r>
      <w:r w:rsidRPr="0090621D">
        <w:rPr>
          <w:rFonts w:cs="Times New Roman"/>
          <w:sz w:val="24"/>
        </w:rPr>
        <w:t>fascicoli dei processi sui quali le singole sezioni sono  chiamate  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giudicare, fatta eccezione per i giudizi per  i  quali  risulti  </w:t>
      </w:r>
      <w:proofErr w:type="spellStart"/>
      <w:r w:rsidRPr="0090621D">
        <w:rPr>
          <w:rFonts w:cs="Times New Roman"/>
          <w:sz w:val="24"/>
        </w:rPr>
        <w:t>gia'</w:t>
      </w:r>
      <w:proofErr w:type="spellEnd"/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fissata l'udienza.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4-bis. Della ricezione dei fascicoli  </w:t>
      </w:r>
      <w:proofErr w:type="spellStart"/>
      <w:r w:rsidRPr="0090621D">
        <w:rPr>
          <w:rFonts w:cs="Times New Roman"/>
          <w:sz w:val="24"/>
        </w:rPr>
        <w:t>e'</w:t>
      </w:r>
      <w:proofErr w:type="spellEnd"/>
      <w:r w:rsidRPr="0090621D">
        <w:rPr>
          <w:rFonts w:cs="Times New Roman"/>
          <w:sz w:val="24"/>
        </w:rPr>
        <w:t xml:space="preserve">  data  comunicazione  alle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parti interessate e ai difensori costituiti, a cura della  segreteria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della sezione.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5. Avverso le sentenze  delle  sezioni  giurisdizionali  regionali,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salvo quanto disposto in attuazione dell'articolo  23  dello  statuto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della  regione   Sicilia,   </w:t>
      </w:r>
      <w:proofErr w:type="spellStart"/>
      <w:r w:rsidRPr="0090621D">
        <w:rPr>
          <w:rFonts w:cs="Times New Roman"/>
          <w:sz w:val="24"/>
        </w:rPr>
        <w:t>e'</w:t>
      </w:r>
      <w:proofErr w:type="spellEnd"/>
      <w:r w:rsidRPr="0090621D">
        <w:rPr>
          <w:rFonts w:cs="Times New Roman"/>
          <w:sz w:val="24"/>
        </w:rPr>
        <w:t xml:space="preserve">   ammesso   l'appello   alle   sezioni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giurisdizionali centrali che giudicano con cinque  magistrati  e  con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competenza in tutte le materie attribuite  alla  giurisdizione  della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Corte dei conti. Nei giudizi in materia  di  pensioni,  l'appello  </w:t>
      </w:r>
      <w:proofErr w:type="spellStart"/>
      <w:r w:rsidRPr="0090621D">
        <w:rPr>
          <w:rFonts w:cs="Times New Roman"/>
          <w:sz w:val="24"/>
        </w:rPr>
        <w:t>e'</w:t>
      </w:r>
      <w:proofErr w:type="spellEnd"/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consentito per soli motivi di  diritto;  costituiscono  questioni  di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fatto quelle relative alla dipendenza di </w:t>
      </w:r>
      <w:proofErr w:type="spellStart"/>
      <w:r w:rsidRPr="0090621D">
        <w:rPr>
          <w:rFonts w:cs="Times New Roman"/>
          <w:sz w:val="24"/>
        </w:rPr>
        <w:t>infermita'</w:t>
      </w:r>
      <w:proofErr w:type="spellEnd"/>
      <w:r w:rsidRPr="0090621D">
        <w:rPr>
          <w:rFonts w:cs="Times New Roman"/>
          <w:sz w:val="24"/>
        </w:rPr>
        <w:t>, lesioni o  morte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da causa di servizio o di guerra e quelle relative alla classifica  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all'aggravamento di </w:t>
      </w:r>
      <w:proofErr w:type="spellStart"/>
      <w:r w:rsidRPr="0090621D">
        <w:rPr>
          <w:rFonts w:cs="Times New Roman"/>
          <w:sz w:val="24"/>
        </w:rPr>
        <w:t>infermita'</w:t>
      </w:r>
      <w:proofErr w:type="spellEnd"/>
      <w:r w:rsidRPr="0090621D">
        <w:rPr>
          <w:rFonts w:cs="Times New Roman"/>
          <w:sz w:val="24"/>
        </w:rPr>
        <w:t xml:space="preserve"> o lesioni.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5-bis.  L'appello  </w:t>
      </w:r>
      <w:proofErr w:type="spellStart"/>
      <w:r w:rsidRPr="0090621D">
        <w:rPr>
          <w:rFonts w:cs="Times New Roman"/>
          <w:sz w:val="24"/>
        </w:rPr>
        <w:t>e'</w:t>
      </w:r>
      <w:proofErr w:type="spellEnd"/>
      <w:r w:rsidRPr="0090621D">
        <w:rPr>
          <w:rFonts w:cs="Times New Roman"/>
          <w:sz w:val="24"/>
        </w:rPr>
        <w:t xml:space="preserve">  proponibile  dalle  parti,  dal  procuratore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regionale competente </w:t>
      </w:r>
      <w:r w:rsidRPr="0090621D">
        <w:rPr>
          <w:rFonts w:cs="Times New Roman"/>
          <w:sz w:val="24"/>
        </w:rPr>
        <w:lastRenderedPageBreak/>
        <w:t>per territorio o dal procuratore generale, entro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sessanta giorni dalla notificazione o, comunque, entro un anno  dalla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pubblicazione. Entro i trenta  giorni  successivi  esso  deve  essere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depositato nella segreteria del giudice d'appello con la prova  delle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avvenute notifiche, unitamente alla copia della  sentenza  appellata.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>Agli appelli si applicano le disposizioni di cui all'articolo 3 della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legge   21   marzo   1953,   n.   161.   La    </w:t>
      </w:r>
      <w:proofErr w:type="spellStart"/>
      <w:r w:rsidRPr="0090621D">
        <w:rPr>
          <w:rFonts w:cs="Times New Roman"/>
          <w:sz w:val="24"/>
        </w:rPr>
        <w:t>facolta'</w:t>
      </w:r>
      <w:proofErr w:type="spellEnd"/>
      <w:r w:rsidRPr="0090621D">
        <w:rPr>
          <w:rFonts w:cs="Times New Roman"/>
          <w:sz w:val="24"/>
        </w:rPr>
        <w:t xml:space="preserve">    attribuita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all'amministrazione dall'articolo 6, comma 4,  si  applica  anche  ai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giudizi di appello in materia pensionistica e comprende il potere  di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proposizione del gravame.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5-ter. I l ricorso alle sezioni giurisdizionali  centrali  sospende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l'esecuzione della sentenza  impugnata.  La  sezione  giurisdizionale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centrale,   tuttavia,   su   istanza   del   procuratore    regionale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territorialmente competente o del  procuratore  generale,  quando  vi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siano ragioni fondate ed esplicitamente motivate </w:t>
      </w:r>
      <w:proofErr w:type="spellStart"/>
      <w:r w:rsidRPr="0090621D">
        <w:rPr>
          <w:rFonts w:cs="Times New Roman"/>
          <w:sz w:val="24"/>
        </w:rPr>
        <w:t>puo'</w:t>
      </w:r>
      <w:proofErr w:type="spellEnd"/>
      <w:r w:rsidRPr="0090621D">
        <w:rPr>
          <w:rFonts w:cs="Times New Roman"/>
          <w:sz w:val="24"/>
        </w:rPr>
        <w:t xml:space="preserve">  disporre,  con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ordinanza  motivata,  sentite  le  parti,   che   la   sentenza   sia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provvisoriamente esecutiva. I procedimenti pendenti presso le sezioni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giurisdizionali centrali, non ancora definiti in prima istanza,  sono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rimessi alle sezioni giurisdizionali competenti per  territorio.  Nei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giudizi dinanzi alle sezioni giurisdizionali regionali il  patrocinio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legale </w:t>
      </w:r>
      <w:proofErr w:type="spellStart"/>
      <w:r w:rsidRPr="0090621D">
        <w:rPr>
          <w:rFonts w:cs="Times New Roman"/>
          <w:sz w:val="24"/>
        </w:rPr>
        <w:t>e'</w:t>
      </w:r>
      <w:proofErr w:type="spellEnd"/>
      <w:r w:rsidRPr="0090621D">
        <w:rPr>
          <w:rFonts w:cs="Times New Roman"/>
          <w:sz w:val="24"/>
        </w:rPr>
        <w:t xml:space="preserve"> esercitato da avvocati o procuratori  legali  iscritti  nei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relativi albi professionali.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5-quater. Sono abrogati gli articoli 3, secondo comma, e 4, secondo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comma, del decreto legislativo 6  maggio  1948,  n.  655.  I  giudizi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avverso le sentenze  emesse  dalla  sezione  giurisdizionale  per  la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regione siciliana pendenti innanzi alle sezioni riunite  della  Corte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dei conti sono devoluti,  nello  stato  in  cui  si  trovano  e  fino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all'istituzione della  competente  sezione  giurisdizionale  centrale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d'appello   per   la   regione   siciliana,   alla   prima    sezione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giurisdizionale centrale d'appello.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6. Tutti  i  giudizi  relativi  ai  residenti  all'estero  sono  di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competenza della sezione regionale del Lazio.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7. Le sezioni riunite della Corte dei conti decidono sui  conflitti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di competenza e sulle questioni di  massima  deferite  dalle  sezioni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giurisdizionali  centrali  o  regionali,  ovvero  a   richiesta   del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procuratore generale. Esse sono presiedute dal presidente della Corte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dei conti o da un  presidente  di  sezione  e  giudicano  con  cinque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magistrati . Ad esse sono assegnati due presidenti di  sezione  e  un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numero di consiglieri determinato dal consiglio di  presidenza  della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Corte dei conti all'inizio  dell'anno  giudiziario.  </w:t>
      </w:r>
      <w:r w:rsidRPr="0090621D">
        <w:rPr>
          <w:rFonts w:cs="Times New Roman"/>
          <w:b/>
          <w:bCs/>
          <w:i/>
          <w:iCs/>
          <w:sz w:val="24"/>
        </w:rPr>
        <w:t>((Il  presidente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 xml:space="preserve">della Corte </w:t>
      </w:r>
      <w:proofErr w:type="spellStart"/>
      <w:r w:rsidRPr="0090621D">
        <w:rPr>
          <w:rFonts w:cs="Times New Roman"/>
          <w:b/>
          <w:bCs/>
          <w:i/>
          <w:iCs/>
          <w:sz w:val="24"/>
        </w:rPr>
        <w:t>puo'</w:t>
      </w:r>
      <w:proofErr w:type="spellEnd"/>
      <w:r w:rsidRPr="0090621D">
        <w:rPr>
          <w:rFonts w:cs="Times New Roman"/>
          <w:b/>
          <w:bCs/>
          <w:i/>
          <w:iCs/>
          <w:sz w:val="24"/>
        </w:rPr>
        <w:t xml:space="preserve"> disporre che le sezioni riunite  si  pronuncino  sui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 xml:space="preserve">giudizi </w:t>
      </w:r>
      <w:r w:rsidRPr="0090621D">
        <w:rPr>
          <w:rFonts w:cs="Times New Roman"/>
          <w:b/>
          <w:bCs/>
          <w:i/>
          <w:iCs/>
          <w:sz w:val="24"/>
        </w:rPr>
        <w:lastRenderedPageBreak/>
        <w:t xml:space="preserve">che presentano una questione di diritto </w:t>
      </w:r>
      <w:proofErr w:type="spellStart"/>
      <w:r w:rsidRPr="0090621D">
        <w:rPr>
          <w:rFonts w:cs="Times New Roman"/>
          <w:b/>
          <w:bCs/>
          <w:i/>
          <w:iCs/>
          <w:sz w:val="24"/>
        </w:rPr>
        <w:t>gia'</w:t>
      </w:r>
      <w:proofErr w:type="spellEnd"/>
      <w:r w:rsidRPr="0090621D">
        <w:rPr>
          <w:rFonts w:cs="Times New Roman"/>
          <w:b/>
          <w:bCs/>
          <w:i/>
          <w:iCs/>
          <w:sz w:val="24"/>
        </w:rPr>
        <w:t xml:space="preserve"> decisa in  senso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>difforme dalle sezioni giurisdizionali, centrali o  regionali,  e  su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>quelli  che  presentano  una  questione  di  massima  di  particolare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>importanza. Se la  sezione  giurisdizionale,  centrale  o  regionale,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>ritiene di non condividere il principio di  diritto  enunciato  dalle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>sezioni riunite, rimette a queste ultime, con ordinanza motivata,  la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>decisione del giudizio))</w:t>
      </w:r>
      <w:r w:rsidRPr="0090621D">
        <w:rPr>
          <w:rFonts w:cs="Times New Roman"/>
          <w:sz w:val="24"/>
        </w:rPr>
        <w:t xml:space="preserve">. (3)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8.  Dalla  data   di   insediamento   dell'ultima   delle   sezioni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giurisdizionali regionali, sono soppresse la  sezione  III  ordinaria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per le pensioni civili, la  sezione  IV  ordinaria  per  le  pensioni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militari, le cinque sezioni giurisdizionali speciali per le  pensioni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di  guerra.  Tali  sezioni   continuano   a   funzionare   ai   sensi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dell'articolo 11 della legge 8 ottobre 1984, n. 658. In ogni  caso  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decorrere dal 1° gennaio 1995 le predette sezioni sono soppresse e  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giudizi di competenza di sezioni giurisdizionali regionali non ancora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>insediate sono attribuiti alla sezione giurisdizionale regionale  del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Lazio.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8-bis. E' istituita una terza sezione giurisdizionale centrale. Per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le esigenze delle funzioni giurisdizionali, di controllo e  referenti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al Parlamento, alle sezioni della Corte, il cui carico di lavoro  sia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ritenuto particolarmente consistente, possono essere  assegnati,  con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delibera del  consiglio  di  presidenza,  presidenti  aggiunti  o  di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coordinamento;  il  numero  totale  dei  presidenti  aggiunti  e   di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coordinamento non </w:t>
      </w:r>
      <w:proofErr w:type="spellStart"/>
      <w:r w:rsidRPr="0090621D">
        <w:rPr>
          <w:rFonts w:cs="Times New Roman"/>
          <w:sz w:val="24"/>
        </w:rPr>
        <w:t>puo'</w:t>
      </w:r>
      <w:proofErr w:type="spellEnd"/>
      <w:r w:rsidRPr="0090621D">
        <w:rPr>
          <w:rFonts w:cs="Times New Roman"/>
          <w:sz w:val="24"/>
        </w:rPr>
        <w:t xml:space="preserve"> essere superiore a dieci </w:t>
      </w:r>
      <w:proofErr w:type="spellStart"/>
      <w:r w:rsidRPr="0090621D">
        <w:rPr>
          <w:rFonts w:cs="Times New Roman"/>
          <w:sz w:val="24"/>
        </w:rPr>
        <w:t>unita'</w:t>
      </w:r>
      <w:proofErr w:type="spellEnd"/>
      <w:r w:rsidRPr="0090621D">
        <w:rPr>
          <w:rFonts w:cs="Times New Roman"/>
          <w:sz w:val="24"/>
        </w:rPr>
        <w:t xml:space="preserve">. (5)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9. Alle esigenze  di  magistrati  per  le  sezioni  giurisdizionali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regionali e per gli uffici  del  procuratore  regionale  provvede  il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consiglio di presidenza della Corte dei conti a mezzo di assegnazione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su  domanda  degli  interessati.  Altri  magistrati  potranno  essere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assegnati, anche senza il loro consenso, per un periodo non superiore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a due anni. Nel primo impianto e per un periodo non inferiore  a  due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anni, alle occorrenze delle sezioni  e  delle  procure  regionali  si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provvede provvisoriamente, con magistrati assegnati anche  d'ufficio.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(3)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10.  L'articolo  42  della  legge  10  febbraio  1953,  n.  62,  </w:t>
      </w:r>
      <w:proofErr w:type="spellStart"/>
      <w:r w:rsidRPr="0090621D">
        <w:rPr>
          <w:rFonts w:cs="Times New Roman"/>
          <w:sz w:val="24"/>
        </w:rPr>
        <w:t>e'</w:t>
      </w:r>
      <w:proofErr w:type="spellEnd"/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sostituito dal seguente: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"Art. 42 (Posizione dei funzionari membri della commissione).  -  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membri effettivi della commissione di controllo di cui  alla  lettera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c) del precedente articolo sono esonerati da ogni obbligo di servizio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presso l'amministrazione cui appartengono.".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11. Alle segreterie delle sezioni giurisdizionali regionali e delle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procure regionali sono preposti funzionari di cui all'articolo 17 del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decreto legislativo 3 febbraio 1993, n. 29.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lastRenderedPageBreak/>
        <w:t xml:space="preserve">   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>---------------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 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AGGIORNAMENTO (3)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Il D.L. 23 ottobre 1996, n. 543, convertito con modificazioni dalla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L. 20 dicembre 1996, n. 639 ha disposto (con l'art. 6, comma  1)  che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"Il periodo di tempo di cui all'articolo 1, comma 9, ultimo  periodo,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del  decreto-legge  15  novembre  1993,  n.  453,   convertito,   con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modificazioni, dalla legge 14 gennaio 1994, n. 19, termina alla  data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del 30 aprile  1996,  successivamente  alla  quale  si  procede  alle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assegnazioni definitive".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Ha inoltre disposto (con l'art. 1, comma 2) che le sezioni  riunite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di  cui  al  comma  7  del  presente  articolo  giudicano  con  sette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magistrati.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 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>---------------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 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AGGIORNAMENTO (5)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Il D.L. 24 dicembre 2003,  n.  354,  convertito  con  modificazioni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dalla L. 26 febbraio 2004, n. 45,  ha  disposto  (con  l'art.  6-bis,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comma 3) che "[...]  Sono  contestualmente  soppressi  due  posti  di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presidente di sezione della Corte dei conti di  cui  all'articolo  1,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>comma 8-bis, del decreto-legge 15 novembre 1993, n. 453,  convertito,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con modificazioni, dalla legge 14 gennaio 1994, n. 19,  e  successive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modificazioni".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                             Art. 2.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          Pubblico ministero presso la Corte dei conti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1. Le funzioni di pubblico ministero innanzi alle  sezioni  riunite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ed alle sezioni giurisdizionali centrali della Corte dei  conti  sono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esercitate  dal  procuratore  generale  o  da  un  vice   procuratore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generale.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2. Presso le sezioni  giurisdizionali  regionali  le  funzioni  del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pubblico ministero sono esercitate da un procuratore regionale.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lastRenderedPageBreak/>
        <w:t xml:space="preserve">  3. Il procuratore generale  coordina  </w:t>
      </w:r>
      <w:proofErr w:type="spellStart"/>
      <w:r w:rsidRPr="0090621D">
        <w:rPr>
          <w:rFonts w:cs="Times New Roman"/>
          <w:sz w:val="24"/>
        </w:rPr>
        <w:t>l'attivita'</w:t>
      </w:r>
      <w:proofErr w:type="spellEnd"/>
      <w:r w:rsidRPr="0090621D">
        <w:rPr>
          <w:rFonts w:cs="Times New Roman"/>
          <w:sz w:val="24"/>
        </w:rPr>
        <w:t xml:space="preserve">  dei  procuratori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regionali e, questi ultimi, quella dei magistrati assegnati  ai  loro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uffici.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4. Fermo restando quanto stabilito dall'articolo 16, comma  3,  del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decreto-legge 13 maggio 1991, n. 152, convertito, con  modificazioni,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dalla legge 12 luglio 1991, n. 203,  e  dall'articolo  74  del  testo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unico delle leggi sulla Corte dei conti, approvato con regio  decreto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12 luglio 1934, n. 1214, la Corte dei conti,  per  l'esercizio  delle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sue attribuzioni, </w:t>
      </w:r>
      <w:proofErr w:type="spellStart"/>
      <w:r w:rsidRPr="0090621D">
        <w:rPr>
          <w:rFonts w:cs="Times New Roman"/>
          <w:sz w:val="24"/>
        </w:rPr>
        <w:t>puo'</w:t>
      </w:r>
      <w:proofErr w:type="spellEnd"/>
      <w:r w:rsidRPr="0090621D">
        <w:rPr>
          <w:rFonts w:cs="Times New Roman"/>
          <w:sz w:val="24"/>
        </w:rPr>
        <w:t xml:space="preserve"> </w:t>
      </w:r>
      <w:proofErr w:type="spellStart"/>
      <w:r w:rsidRPr="0090621D">
        <w:rPr>
          <w:rFonts w:cs="Times New Roman"/>
          <w:sz w:val="24"/>
        </w:rPr>
        <w:t>altresi'</w:t>
      </w:r>
      <w:proofErr w:type="spellEnd"/>
      <w:r w:rsidRPr="0090621D">
        <w:rPr>
          <w:rFonts w:cs="Times New Roman"/>
          <w:sz w:val="24"/>
        </w:rPr>
        <w:t xml:space="preserve">  delegare  adempimenti  istruttori  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funzionari delle pubbliche amministrazioni e avvalersi di  consulenti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tecnici, nel rispetto delle disposizioni di cui all'articolo  73  del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decreto legislativo 28 luglio 1989, n. 271.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</w:t>
      </w:r>
      <w:r w:rsidRPr="0090621D">
        <w:rPr>
          <w:rFonts w:cs="Times New Roman"/>
          <w:b/>
          <w:bCs/>
          <w:i/>
          <w:iCs/>
          <w:sz w:val="24"/>
        </w:rPr>
        <w:t>((4-bis. La delega di adempimenti istruttori a funzionari regionali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proofErr w:type="spellStart"/>
      <w:r w:rsidRPr="0090621D">
        <w:rPr>
          <w:rFonts w:cs="Times New Roman"/>
          <w:b/>
          <w:bCs/>
          <w:i/>
          <w:iCs/>
          <w:sz w:val="24"/>
        </w:rPr>
        <w:t>e'</w:t>
      </w:r>
      <w:proofErr w:type="spellEnd"/>
      <w:r w:rsidRPr="0090621D">
        <w:rPr>
          <w:rFonts w:cs="Times New Roman"/>
          <w:b/>
          <w:bCs/>
          <w:i/>
          <w:iCs/>
          <w:sz w:val="24"/>
        </w:rPr>
        <w:t xml:space="preserve">  disposta  d'intesa  con  il  presidente  della  regione  o  della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>provincia autonoma))</w:t>
      </w:r>
      <w:r w:rsidRPr="0090621D">
        <w:rPr>
          <w:rFonts w:cs="Times New Roman"/>
          <w:sz w:val="24"/>
        </w:rPr>
        <w:t xml:space="preserve">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sz w:val="24"/>
        </w:rPr>
      </w:pPr>
      <w:r w:rsidRPr="0090621D">
        <w:rPr>
          <w:rFonts w:cs="Times New Roman"/>
          <w:sz w:val="24"/>
        </w:rPr>
        <w:t>Art. 3.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sz w:val="24"/>
        </w:rPr>
      </w:pPr>
      <w:r w:rsidRPr="0090621D">
        <w:rPr>
          <w:rFonts w:cs="Times New Roman"/>
          <w:b/>
          <w:bCs/>
          <w:i/>
          <w:iCs/>
          <w:sz w:val="24"/>
        </w:rPr>
        <w:t>((ARTICOLO SOPPRESSO DALLA L. 14 GENNAIO 1994, N. 19))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sz w:val="24"/>
        </w:rPr>
      </w:pPr>
      <w:r w:rsidRPr="0090621D">
        <w:rPr>
          <w:rFonts w:cs="Times New Roman"/>
          <w:sz w:val="24"/>
        </w:rPr>
        <w:t>Art. 4.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sz w:val="24"/>
        </w:rPr>
      </w:pPr>
      <w:r w:rsidRPr="0090621D">
        <w:rPr>
          <w:rFonts w:cs="Times New Roman"/>
          <w:b/>
          <w:bCs/>
          <w:i/>
          <w:iCs/>
          <w:sz w:val="24"/>
        </w:rPr>
        <w:t>((ARTICOLO SOPPRESSO DALLA L. 14 GENNAIO 1994, N. 19))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sz w:val="24"/>
        </w:rPr>
      </w:pPr>
      <w:r w:rsidRPr="0090621D">
        <w:rPr>
          <w:rFonts w:cs="Times New Roman"/>
          <w:sz w:val="24"/>
        </w:rPr>
        <w:t>Art. 5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Giudizi di </w:t>
      </w:r>
      <w:proofErr w:type="spellStart"/>
      <w:r w:rsidRPr="0090621D">
        <w:rPr>
          <w:rFonts w:cs="Times New Roman"/>
          <w:sz w:val="24"/>
        </w:rPr>
        <w:t>responsabilita'</w:t>
      </w:r>
      <w:proofErr w:type="spellEnd"/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1.  Prima  di  emettere  l'atto  di  citazione  in   giudizio,   il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procuratore regionale invita il presunto  responsabile  del  danno  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depositare, entro un termine non  inferiore  a  trenta  giorni  dalla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notifica della comunicazione dell'invito,  le  proprie  deduzioni  ed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>eventuali documenti. Nello stesso termine  il  presunto  responsabile</w:t>
      </w:r>
      <w:r w:rsidR="00D14711">
        <w:rPr>
          <w:rFonts w:cs="Times New Roman"/>
          <w:sz w:val="24"/>
        </w:rPr>
        <w:t xml:space="preserve"> </w:t>
      </w:r>
      <w:proofErr w:type="spellStart"/>
      <w:r w:rsidRPr="0090621D">
        <w:rPr>
          <w:rFonts w:cs="Times New Roman"/>
          <w:sz w:val="24"/>
        </w:rPr>
        <w:t>puo'</w:t>
      </w:r>
      <w:proofErr w:type="spellEnd"/>
      <w:r w:rsidRPr="0090621D">
        <w:rPr>
          <w:rFonts w:cs="Times New Roman"/>
          <w:sz w:val="24"/>
        </w:rPr>
        <w:t xml:space="preserve">  chiedere  di  essere  sentito  personalmente.  Il   procuratore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regionale emette l'atto di citazione  in  giudizio  entro  centoventi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giorni  dalla  scadenza  del  termine  per  la  presentazione   delle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deduzioni da parte del presunto  responsabile  del  danno.  Eventuali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proroghe di  quest'ultimo  termine  sono  autorizzate  dalla  sezione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giurisdizionale competente, nella camera  di  consiglio  a  tal  fine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convocata;  la  mancata  autorizzazione  obbliga  il  procuratore  ad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emettere l'atto di citazione ovvero a disporre l'archiviazione  entro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i successivi quarantacinque giorni.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2.  Quando  ne  ricorrano  le  condizioni,  anche   contestualmente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all'invito di cui al comma 1, il procuratore regionale </w:t>
      </w:r>
      <w:proofErr w:type="spellStart"/>
      <w:r w:rsidRPr="0090621D">
        <w:rPr>
          <w:rFonts w:cs="Times New Roman"/>
          <w:sz w:val="24"/>
        </w:rPr>
        <w:t>puo'</w:t>
      </w:r>
      <w:proofErr w:type="spellEnd"/>
      <w:r w:rsidRPr="0090621D">
        <w:rPr>
          <w:rFonts w:cs="Times New Roman"/>
          <w:sz w:val="24"/>
        </w:rPr>
        <w:t xml:space="preserve"> chiedere,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al presidente della sezione competente a  conoscere  del  merito  del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giudizio, il sequestro conservativo di beni  mobili  e  immobili  del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convenuto, comprese somme e cose allo stesso dovute,  nei  limiti  di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lastRenderedPageBreak/>
        <w:t xml:space="preserve">legge.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3.  Sulla  domanda  il  presidente  della  sezione  giurisdizionale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regionale provvede con decreto motivato e procede contestualmente a: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  a) fissare l'udienza  di  comparizione  delle  parti  innanzi  al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giudice designato, entro un termine non  superiore  a  quarantacinque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giorni;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  b) assegnare al procuratore regionale un termine  perentorio  non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superiore a trenta giorni per la notificazione della  domanda  e  del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decreto.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4. All'udienza di cui alla lettera a) del comma 3, il giudice,  con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ordinanza, conferma, modifica o revoca i provvedimenti emanati con il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decreto.  Nel  caso  in  cui  la  notificazione   debba   effettuarsi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all'estero, i termini di cui al comma 3 sono quadruplicati.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5. Con l'ordinanza  di  accoglimento,  ove  la  domanda  sia  stata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proposta prima dell'inizio della causa di merito,  viene  fissato  un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termine non superiore a sessanta giorni per il  deposito,  presso  la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segreteria della  sezione  giurisdizionale  regionale,  dell'atto  di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citazione per il correlativo giudizio di merito. Il  termine  decorre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dalla  data  di  comunicazione  del  provvedimento  all'ufficio   del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procuratore regionale.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6. Ferme restando le disposizioni di cui al comma  4  dell'articolo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2, il procuratore regionale, nelle  istruttorie  di  sua  competenza,</w:t>
      </w:r>
      <w:r w:rsidR="00D14711">
        <w:rPr>
          <w:rFonts w:cs="Times New Roman"/>
          <w:sz w:val="24"/>
        </w:rPr>
        <w:t xml:space="preserve"> </w:t>
      </w:r>
      <w:proofErr w:type="spellStart"/>
      <w:r w:rsidRPr="0090621D">
        <w:rPr>
          <w:rFonts w:cs="Times New Roman"/>
          <w:sz w:val="24"/>
        </w:rPr>
        <w:t>puo'</w:t>
      </w:r>
      <w:proofErr w:type="spellEnd"/>
      <w:r w:rsidRPr="0090621D">
        <w:rPr>
          <w:rFonts w:cs="Times New Roman"/>
          <w:sz w:val="24"/>
        </w:rPr>
        <w:t xml:space="preserve"> disporre: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  a) l'esibizione di documenti, </w:t>
      </w:r>
      <w:proofErr w:type="spellStart"/>
      <w:r w:rsidRPr="0090621D">
        <w:rPr>
          <w:rFonts w:cs="Times New Roman"/>
          <w:sz w:val="24"/>
        </w:rPr>
        <w:t>nonche</w:t>
      </w:r>
      <w:proofErr w:type="spellEnd"/>
      <w:r w:rsidRPr="0090621D">
        <w:rPr>
          <w:rFonts w:cs="Times New Roman"/>
          <w:sz w:val="24"/>
        </w:rPr>
        <w:t>' ispezioni  ed  accertamenti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>diretti presso le pubbliche amministrazioni ed i terzi  contraenti  o</w:t>
      </w:r>
      <w:r w:rsidR="00D14711">
        <w:rPr>
          <w:rFonts w:cs="Times New Roman"/>
          <w:sz w:val="24"/>
        </w:rPr>
        <w:t xml:space="preserve"> </w:t>
      </w:r>
      <w:r w:rsidRPr="0090621D">
        <w:rPr>
          <w:rFonts w:cs="Times New Roman"/>
          <w:sz w:val="24"/>
        </w:rPr>
        <w:t xml:space="preserve">beneficiari di provvidenze finanziarie a carico dei bilanci pubblici;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  b) il sequestro dei documenti;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  c) audizioni personali;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  d) perizie e consulenze. </w:t>
      </w:r>
    </w:p>
    <w:p w:rsidR="0090621D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7. COMMA ABROGATO DAL D.P.R. 30 MAGGIO 2002, N. 115. </w:t>
      </w:r>
    </w:p>
    <w:p w:rsidR="00BD6CA9" w:rsidRPr="0090621D" w:rsidRDefault="0090621D" w:rsidP="00D1471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sz w:val="24"/>
        </w:rPr>
      </w:pPr>
      <w:r w:rsidRPr="0090621D">
        <w:rPr>
          <w:rFonts w:cs="Times New Roman"/>
          <w:sz w:val="24"/>
        </w:rPr>
        <w:t xml:space="preserve">  </w:t>
      </w:r>
      <w:r w:rsidRPr="0090621D">
        <w:rPr>
          <w:rFonts w:cs="Times New Roman"/>
          <w:b/>
          <w:bCs/>
          <w:i/>
          <w:iCs/>
          <w:sz w:val="24"/>
        </w:rPr>
        <w:t>((8. Il limite di somma di cui  all'articolo  55  del  testo  unico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>delle leggi sulla Corte dei conti, di cui al regio decreto 12  luglio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 xml:space="preserve">1934, n. 1214, e all'articolo 49 del regio decreto 13 agosto 1933, n. 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 xml:space="preserve">1038, </w:t>
      </w:r>
      <w:proofErr w:type="spellStart"/>
      <w:r w:rsidRPr="0090621D">
        <w:rPr>
          <w:rFonts w:cs="Times New Roman"/>
          <w:b/>
          <w:bCs/>
          <w:i/>
          <w:iCs/>
          <w:sz w:val="24"/>
        </w:rPr>
        <w:t>e'</w:t>
      </w:r>
      <w:proofErr w:type="spellEnd"/>
      <w:r w:rsidRPr="0090621D">
        <w:rPr>
          <w:rFonts w:cs="Times New Roman"/>
          <w:b/>
          <w:bCs/>
          <w:i/>
          <w:iCs/>
          <w:sz w:val="24"/>
        </w:rPr>
        <w:t xml:space="preserve"> elevato ad euro 5000 e </w:t>
      </w:r>
      <w:proofErr w:type="spellStart"/>
      <w:r w:rsidRPr="0090621D">
        <w:rPr>
          <w:rFonts w:cs="Times New Roman"/>
          <w:b/>
          <w:bCs/>
          <w:i/>
          <w:iCs/>
          <w:sz w:val="24"/>
        </w:rPr>
        <w:t>puo'</w:t>
      </w:r>
      <w:proofErr w:type="spellEnd"/>
      <w:r w:rsidRPr="0090621D">
        <w:rPr>
          <w:rFonts w:cs="Times New Roman"/>
          <w:b/>
          <w:bCs/>
          <w:i/>
          <w:iCs/>
          <w:sz w:val="24"/>
        </w:rPr>
        <w:t xml:space="preserve"> essere aggiornato, in  relazione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>alle variazioni dell'indice ISTAT sul costo della vita,  con  decreto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>del Presidente del Consiglio dei ministri, su proposta del Presidente</w:t>
      </w:r>
      <w:r w:rsidR="00D14711">
        <w:rPr>
          <w:rFonts w:cs="Times New Roman"/>
          <w:b/>
          <w:bCs/>
          <w:i/>
          <w:iCs/>
          <w:sz w:val="24"/>
        </w:rPr>
        <w:t xml:space="preserve"> </w:t>
      </w:r>
      <w:r w:rsidRPr="0090621D">
        <w:rPr>
          <w:rFonts w:cs="Times New Roman"/>
          <w:b/>
          <w:bCs/>
          <w:i/>
          <w:iCs/>
          <w:sz w:val="24"/>
        </w:rPr>
        <w:t>della Corte dei conti))</w:t>
      </w:r>
      <w:r w:rsidRPr="0090621D">
        <w:rPr>
          <w:rFonts w:cs="Times New Roman"/>
          <w:sz w:val="24"/>
        </w:rPr>
        <w:t>.</w:t>
      </w:r>
      <w:bookmarkStart w:id="0" w:name="_GoBack"/>
      <w:bookmarkEnd w:id="0"/>
    </w:p>
    <w:sectPr w:rsidR="00BD6CA9" w:rsidRPr="0090621D" w:rsidSect="00842E83">
      <w:pgSz w:w="11900" w:h="16840"/>
      <w:pgMar w:top="1701" w:right="1701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1D"/>
    <w:rsid w:val="001F797F"/>
    <w:rsid w:val="003D72D0"/>
    <w:rsid w:val="004E0BB3"/>
    <w:rsid w:val="00842E83"/>
    <w:rsid w:val="0090621D"/>
    <w:rsid w:val="00B53DA0"/>
    <w:rsid w:val="00BD6CA9"/>
    <w:rsid w:val="00D14711"/>
    <w:rsid w:val="00D80438"/>
    <w:rsid w:val="00DC4B60"/>
    <w:rsid w:val="00F0425C"/>
    <w:rsid w:val="00F97EA6"/>
    <w:rsid w:val="00FB1D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438"/>
    <w:pPr>
      <w:jc w:val="both"/>
    </w:pPr>
    <w:rPr>
      <w:rFonts w:ascii="Times New Roman" w:hAnsi="Times New Roman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DC4B60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438"/>
    <w:pPr>
      <w:jc w:val="both"/>
    </w:pPr>
    <w:rPr>
      <w:rFonts w:ascii="Times New Roman" w:hAnsi="Times New Roman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DC4B60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13663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Occhiena</dc:creator>
  <cp:lastModifiedBy>Evangelista Paolo</cp:lastModifiedBy>
  <cp:revision>2</cp:revision>
  <dcterms:created xsi:type="dcterms:W3CDTF">2014-05-24T17:42:00Z</dcterms:created>
  <dcterms:modified xsi:type="dcterms:W3CDTF">2014-05-24T17:42:00Z</dcterms:modified>
</cp:coreProperties>
</file>