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left w:w="0" w:type="dxa"/>
          <w:right w:w="0" w:type="dxa"/>
        </w:tblCellMar>
        <w:tblLook w:val="04A0" w:firstRow="1" w:lastRow="0" w:firstColumn="1" w:lastColumn="0" w:noHBand="0" w:noVBand="1"/>
      </w:tblPr>
      <w:tblGrid>
        <w:gridCol w:w="9666"/>
      </w:tblGrid>
      <w:tr w:rsidR="003250AF" w:rsidRPr="006B7D11" w:rsidTr="003250AF">
        <w:trPr>
          <w:tblCellSpacing w:w="7" w:type="dxa"/>
        </w:trPr>
        <w:tc>
          <w:tcPr>
            <w:tcW w:w="0" w:type="auto"/>
            <w:vAlign w:val="center"/>
            <w:hideMark/>
          </w:tcPr>
          <w:p w:rsidR="003250AF" w:rsidRPr="006B7D11" w:rsidRDefault="003250AF" w:rsidP="006B7D11">
            <w:pPr>
              <w:rPr>
                <w:rFonts w:ascii="Times New Roman" w:hAnsi="Times New Roman" w:cs="Times New Roman"/>
                <w:sz w:val="24"/>
                <w:szCs w:val="24"/>
              </w:rPr>
            </w:pPr>
            <w:bookmarkStart w:id="0" w:name="_GoBack"/>
            <w:bookmarkEnd w:id="0"/>
            <w:r w:rsidRPr="006B7D11">
              <w:rPr>
                <w:rFonts w:ascii="Times New Roman" w:hAnsi="Times New Roman" w:cs="Times New Roman"/>
                <w:sz w:val="24"/>
                <w:szCs w:val="24"/>
              </w:rPr>
              <w:t>L. 13-12-2010 n. 220</w:t>
            </w:r>
            <w:r w:rsidRPr="006B7D11">
              <w:rPr>
                <w:rFonts w:ascii="Times New Roman" w:hAnsi="Times New Roman" w:cs="Times New Roman"/>
                <w:sz w:val="24"/>
                <w:szCs w:val="24"/>
              </w:rPr>
              <w:br/>
              <w:t>Disposizioni per la formazione del bilancio annuale e pluriennale dello Stato (legge di stabilità 2011).</w:t>
            </w:r>
            <w:r w:rsidRPr="006B7D11">
              <w:rPr>
                <w:rFonts w:ascii="Times New Roman" w:hAnsi="Times New Roman" w:cs="Times New Roman"/>
                <w:sz w:val="24"/>
                <w:szCs w:val="24"/>
              </w:rPr>
              <w:br/>
              <w:t xml:space="preserve">Pubblicata nella </w:t>
            </w:r>
            <w:proofErr w:type="spellStart"/>
            <w:r w:rsidRPr="006B7D11">
              <w:rPr>
                <w:rFonts w:ascii="Times New Roman" w:hAnsi="Times New Roman" w:cs="Times New Roman"/>
                <w:sz w:val="24"/>
                <w:szCs w:val="24"/>
              </w:rPr>
              <w:t>Gazz</w:t>
            </w:r>
            <w:proofErr w:type="spellEnd"/>
            <w:r w:rsidRPr="006B7D11">
              <w:rPr>
                <w:rFonts w:ascii="Times New Roman" w:hAnsi="Times New Roman" w:cs="Times New Roman"/>
                <w:sz w:val="24"/>
                <w:szCs w:val="24"/>
              </w:rPr>
              <w:t>. Uff. 21 dicembre 2010, n. 297, S.O.</w:t>
            </w:r>
          </w:p>
        </w:tc>
      </w:tr>
      <w:tr w:rsidR="006B7D11" w:rsidRPr="006B7D11" w:rsidTr="003250AF">
        <w:trPr>
          <w:tblCellSpacing w:w="7" w:type="dxa"/>
        </w:trPr>
        <w:tc>
          <w:tcPr>
            <w:tcW w:w="0" w:type="auto"/>
            <w:vAlign w:val="center"/>
          </w:tcPr>
          <w:p w:rsidR="006B7D11" w:rsidRPr="006B7D11" w:rsidRDefault="006B7D11" w:rsidP="006B7D11">
            <w:pPr>
              <w:jc w:val="both"/>
              <w:rPr>
                <w:rFonts w:ascii="Times New Roman" w:hAnsi="Times New Roman" w:cs="Times New Roman"/>
                <w:sz w:val="24"/>
                <w:szCs w:val="24"/>
              </w:rPr>
            </w:pPr>
          </w:p>
        </w:tc>
      </w:tr>
      <w:tr w:rsidR="003250AF" w:rsidRPr="006B7D11" w:rsidTr="003250AF">
        <w:trPr>
          <w:tblCellSpacing w:w="7" w:type="dxa"/>
        </w:trPr>
        <w:tc>
          <w:tcPr>
            <w:tcW w:w="5000" w:type="pct"/>
            <w:vAlign w:val="center"/>
            <w:hideMark/>
          </w:tcPr>
          <w:p w:rsidR="003250AF" w:rsidRPr="006B7D11" w:rsidRDefault="003250AF" w:rsidP="006B7D11">
            <w:pPr>
              <w:jc w:val="both"/>
              <w:rPr>
                <w:rFonts w:ascii="Times New Roman" w:hAnsi="Times New Roman" w:cs="Times New Roman"/>
                <w:sz w:val="24"/>
                <w:szCs w:val="24"/>
              </w:rPr>
            </w:pPr>
            <w:r w:rsidRPr="006B7D11">
              <w:rPr>
                <w:rFonts w:ascii="Times New Roman" w:hAnsi="Times New Roman" w:cs="Times New Roman"/>
                <w:sz w:val="24"/>
                <w:szCs w:val="24"/>
              </w:rPr>
              <w:t>Art. 1.  (Gestioni previdenziali. Rapporti con le regioni. Risultati differenziali. Fondi e tabelle)</w:t>
            </w:r>
          </w:p>
          <w:p w:rsidR="003250AF" w:rsidRDefault="003250AF" w:rsidP="006B7D11">
            <w:pPr>
              <w:jc w:val="both"/>
              <w:rPr>
                <w:rFonts w:ascii="Times New Roman" w:hAnsi="Times New Roman" w:cs="Times New Roman"/>
                <w:sz w:val="24"/>
                <w:szCs w:val="24"/>
              </w:rPr>
            </w:pPr>
            <w:r w:rsidRPr="006B7D11">
              <w:rPr>
                <w:rFonts w:ascii="Times New Roman" w:hAnsi="Times New Roman" w:cs="Times New Roman"/>
                <w:sz w:val="24"/>
                <w:szCs w:val="24"/>
              </w:rPr>
              <w:t>In vigore dal 1 gennaio 2014</w:t>
            </w:r>
          </w:p>
          <w:p w:rsidR="006B7D11" w:rsidRPr="006B7D11" w:rsidRDefault="006B7D11" w:rsidP="006B7D11">
            <w:pPr>
              <w:jc w:val="both"/>
              <w:rPr>
                <w:rFonts w:ascii="Times New Roman" w:hAnsi="Times New Roman" w:cs="Times New Roman"/>
                <w:sz w:val="24"/>
                <w:szCs w:val="24"/>
              </w:rPr>
            </w:pPr>
            <w:r>
              <w:rPr>
                <w:rFonts w:ascii="Times New Roman" w:hAnsi="Times New Roman" w:cs="Times New Roman"/>
                <w:sz w:val="24"/>
                <w:szCs w:val="24"/>
              </w:rPr>
              <w:t>… omissis…</w:t>
            </w:r>
          </w:p>
        </w:tc>
      </w:tr>
    </w:tbl>
    <w:p w:rsidR="00EF001D" w:rsidRPr="006B7D11" w:rsidRDefault="003250AF" w:rsidP="006B7D11">
      <w:pPr>
        <w:jc w:val="both"/>
        <w:rPr>
          <w:rFonts w:ascii="Times New Roman" w:hAnsi="Times New Roman" w:cs="Times New Roman"/>
          <w:b/>
          <w:sz w:val="24"/>
          <w:szCs w:val="24"/>
        </w:rPr>
      </w:pPr>
      <w:r w:rsidRPr="006B7D11">
        <w:rPr>
          <w:rFonts w:ascii="Times New Roman" w:hAnsi="Times New Roman" w:cs="Times New Roman"/>
          <w:b/>
          <w:sz w:val="24"/>
          <w:szCs w:val="24"/>
        </w:rPr>
        <w:t>111-ter.  Qualora le Sezioni giurisdizionali regionali della Corte dei conti accertino che il rispetto del patto di stabilità interno è stato artificiosamente conseguito mediante una non corretta imputazione delle entrate o delle uscite ai pertinenti capitoli di bilancio o altre forme elusive, le stesse irrogano, agli amministratori che hanno posto in essere atti elusivi delle regole del patto di stabilità interno, la condanna ad una sanzione pecuniaria fino ad un massimo di dieci volte l'indennità di carica percepita al momento di commissione dell'elusione e, al responsabile del servizio economico-finanziario, una sanzione pecuniaria fino a 3 mensilità del trattamento retributivo, al netto degli oneri fiscali e previdenziali. (18)</w:t>
      </w:r>
    </w:p>
    <w:p w:rsidR="003250AF" w:rsidRPr="006B7D11" w:rsidRDefault="003250AF" w:rsidP="006B7D11">
      <w:pPr>
        <w:jc w:val="both"/>
        <w:rPr>
          <w:rFonts w:ascii="Times New Roman" w:hAnsi="Times New Roman" w:cs="Times New Roman"/>
          <w:sz w:val="24"/>
          <w:szCs w:val="24"/>
        </w:rPr>
      </w:pPr>
    </w:p>
    <w:bookmarkStart w:id="1" w:name="18"/>
    <w:p w:rsidR="003250AF" w:rsidRPr="006B7D11" w:rsidRDefault="003250AF" w:rsidP="006B7D11">
      <w:pPr>
        <w:jc w:val="both"/>
        <w:rPr>
          <w:rFonts w:ascii="Times New Roman" w:hAnsi="Times New Roman" w:cs="Times New Roman"/>
          <w:sz w:val="20"/>
          <w:szCs w:val="20"/>
        </w:rPr>
      </w:pPr>
      <w:r w:rsidRPr="006B7D11">
        <w:rPr>
          <w:rFonts w:ascii="Times New Roman" w:hAnsi="Times New Roman" w:cs="Times New Roman"/>
          <w:sz w:val="20"/>
          <w:szCs w:val="20"/>
        </w:rPr>
        <w:fldChar w:fldCharType="begin"/>
      </w:r>
      <w:r w:rsidRPr="006B7D11">
        <w:rPr>
          <w:rFonts w:ascii="Times New Roman" w:hAnsi="Times New Roman" w:cs="Times New Roman"/>
          <w:sz w:val="20"/>
          <w:szCs w:val="20"/>
        </w:rPr>
        <w:instrText xml:space="preserve"> HYPERLINK "https://accessosicuro.corteconti.it/cgi-bin/,DanaInfo=bd01.leggiditalia.it+FulShow?KEY=01LX0000745208ART13&amp;NONAV=1&amp;NOTXT=1&amp;" \l "18up" </w:instrText>
      </w:r>
      <w:r w:rsidRPr="006B7D11">
        <w:rPr>
          <w:rFonts w:ascii="Times New Roman" w:hAnsi="Times New Roman" w:cs="Times New Roman"/>
          <w:sz w:val="20"/>
          <w:szCs w:val="20"/>
        </w:rPr>
        <w:fldChar w:fldCharType="separate"/>
      </w:r>
      <w:r w:rsidRPr="006B7D11">
        <w:rPr>
          <w:rStyle w:val="Collegamentoipertestuale"/>
          <w:rFonts w:ascii="Times New Roman" w:hAnsi="Times New Roman" w:cs="Times New Roman"/>
          <w:sz w:val="20"/>
          <w:szCs w:val="20"/>
        </w:rPr>
        <w:t>(18)</w:t>
      </w:r>
      <w:r w:rsidRPr="006B7D11">
        <w:rPr>
          <w:rFonts w:ascii="Times New Roman" w:hAnsi="Times New Roman" w:cs="Times New Roman"/>
          <w:sz w:val="20"/>
          <w:szCs w:val="20"/>
        </w:rPr>
        <w:fldChar w:fldCharType="end"/>
      </w:r>
      <w:bookmarkEnd w:id="1"/>
      <w:r w:rsidRPr="006B7D11">
        <w:rPr>
          <w:rFonts w:ascii="Times New Roman" w:hAnsi="Times New Roman" w:cs="Times New Roman"/>
          <w:sz w:val="20"/>
          <w:szCs w:val="20"/>
        </w:rPr>
        <w:t> Comma inserito dall'</w:t>
      </w:r>
      <w:hyperlink r:id="rId5" w:history="1">
        <w:r w:rsidRPr="006B7D11">
          <w:rPr>
            <w:rStyle w:val="Collegamentoipertestuale"/>
            <w:rFonts w:ascii="Times New Roman" w:hAnsi="Times New Roman" w:cs="Times New Roman"/>
            <w:sz w:val="20"/>
            <w:szCs w:val="20"/>
          </w:rPr>
          <w:t>art. 20, comma 12, D.L. 6 luglio 2011, n. 98</w:t>
        </w:r>
      </w:hyperlink>
      <w:r w:rsidRPr="006B7D11">
        <w:rPr>
          <w:rFonts w:ascii="Times New Roman" w:hAnsi="Times New Roman" w:cs="Times New Roman"/>
          <w:sz w:val="20"/>
          <w:szCs w:val="20"/>
        </w:rPr>
        <w:t xml:space="preserve">, convertito, con modificazioni, dalla </w:t>
      </w:r>
      <w:hyperlink r:id="rId6" w:history="1">
        <w:r w:rsidRPr="006B7D11">
          <w:rPr>
            <w:rStyle w:val="Collegamentoipertestuale"/>
            <w:rFonts w:ascii="Times New Roman" w:hAnsi="Times New Roman" w:cs="Times New Roman"/>
            <w:sz w:val="20"/>
            <w:szCs w:val="20"/>
          </w:rPr>
          <w:t>L. 15 luglio 2011, n. 111</w:t>
        </w:r>
      </w:hyperlink>
      <w:r w:rsidRPr="006B7D11">
        <w:rPr>
          <w:rFonts w:ascii="Times New Roman" w:hAnsi="Times New Roman" w:cs="Times New Roman"/>
          <w:sz w:val="20"/>
          <w:szCs w:val="20"/>
        </w:rPr>
        <w:t>.</w:t>
      </w:r>
    </w:p>
    <w:sectPr w:rsidR="003250AF" w:rsidRPr="006B7D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AF"/>
    <w:rsid w:val="00177E55"/>
    <w:rsid w:val="003250AF"/>
    <w:rsid w:val="004B7E9A"/>
    <w:rsid w:val="006B7D11"/>
    <w:rsid w:val="00EF00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50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50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432824">
      <w:bodyDiv w:val="1"/>
      <w:marLeft w:val="0"/>
      <w:marRight w:val="0"/>
      <w:marTop w:val="0"/>
      <w:marBottom w:val="0"/>
      <w:divBdr>
        <w:top w:val="none" w:sz="0" w:space="0" w:color="auto"/>
        <w:left w:val="none" w:sz="0" w:space="0" w:color="auto"/>
        <w:bottom w:val="none" w:sz="0" w:space="0" w:color="auto"/>
        <w:right w:val="none" w:sz="0" w:space="0" w:color="auto"/>
      </w:divBdr>
      <w:divsChild>
        <w:div w:id="106838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ccessosicuro.corteconti.it/cgi-bin/,DanaInfo=bd01.leggiditalia.it+FulShow?TIPO=5&amp;NOTXT=1&amp;KEY=01LX0000755664ART0" TargetMode="External"/><Relationship Id="rId5" Type="http://schemas.openxmlformats.org/officeDocument/2006/relationships/hyperlink" Target="https://accessosicuro.corteconti.it/cgi-bin/,DanaInfo=bd01.leggiditalia.it+FulShow?TIPO=5&amp;NOTXT=1&amp;KEY=01LX0000755134ART44"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4</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Evangelista Paolo</dc:creator>
  <cp:lastModifiedBy>Evangelista Paolo</cp:lastModifiedBy>
  <cp:revision>2</cp:revision>
  <cp:lastPrinted>2014-05-21T12:41:00Z</cp:lastPrinted>
  <dcterms:created xsi:type="dcterms:W3CDTF">2014-05-21T12:41:00Z</dcterms:created>
  <dcterms:modified xsi:type="dcterms:W3CDTF">2014-05-21T12:41:00Z</dcterms:modified>
</cp:coreProperties>
</file>